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17" w:type="dxa"/>
        <w:tblInd w:w="-923" w:type="dxa"/>
        <w:tblLayout w:type="fixed"/>
        <w:tblCellMar>
          <w:left w:w="70" w:type="dxa"/>
          <w:right w:w="70" w:type="dxa"/>
        </w:tblCellMar>
        <w:tblLook w:val="0000" w:firstRow="0" w:lastRow="0" w:firstColumn="0" w:lastColumn="0" w:noHBand="0" w:noVBand="0"/>
      </w:tblPr>
      <w:tblGrid>
        <w:gridCol w:w="6663"/>
        <w:gridCol w:w="5954"/>
      </w:tblGrid>
      <w:tr w:rsidR="00811FB9">
        <w:tblPrEx>
          <w:tblCellMar>
            <w:top w:w="0" w:type="dxa"/>
            <w:bottom w:w="0" w:type="dxa"/>
          </w:tblCellMar>
        </w:tblPrEx>
        <w:tc>
          <w:tcPr>
            <w:tcW w:w="6663" w:type="dxa"/>
            <w:tcBorders>
              <w:top w:val="nil"/>
              <w:left w:val="nil"/>
              <w:bottom w:val="nil"/>
              <w:right w:val="nil"/>
            </w:tcBorders>
          </w:tcPr>
          <w:p w:rsidR="00487049" w:rsidRPr="00F3223F" w:rsidRDefault="00283645" w:rsidP="00CE037D">
            <w:pPr>
              <w:pStyle w:val="Normal-TBL-BR-1"/>
              <w:tabs>
                <w:tab w:val="left" w:pos="6168"/>
              </w:tabs>
              <w:ind w:right="284" w:firstLine="356"/>
              <w:jc w:val="left"/>
              <w:rPr>
                <w:rFonts w:ascii="CG Times" w:hAnsi="CG Times" w:cs="CG Times"/>
                <w:b/>
                <w:bCs/>
                <w:sz w:val="20"/>
                <w:szCs w:val="20"/>
                <w:u w:val="single"/>
              </w:rPr>
            </w:pPr>
            <w:r w:rsidRPr="00F3223F">
              <w:rPr>
                <w:rFonts w:ascii="CG Times" w:hAnsi="CG Times" w:cs="CG Times"/>
                <w:b/>
                <w:bCs/>
                <w:sz w:val="20"/>
                <w:szCs w:val="20"/>
                <w:u w:val="single"/>
              </w:rPr>
              <w:t>Nos références à rappeler</w:t>
            </w:r>
            <w:r w:rsidRPr="00F3223F">
              <w:rPr>
                <w:rFonts w:ascii="CG Times" w:hAnsi="CG Times" w:cs="CG Times"/>
                <w:b/>
                <w:bCs/>
                <w:sz w:val="20"/>
                <w:szCs w:val="20"/>
              </w:rPr>
              <w:t> :</w:t>
            </w:r>
          </w:p>
          <w:p w:rsidR="00811FB9" w:rsidRPr="00F3223F" w:rsidRDefault="00811FB9" w:rsidP="00CE037D">
            <w:pPr>
              <w:pStyle w:val="Retraitcorpsdetexte"/>
              <w:framePr w:w="0" w:hRule="auto" w:hSpace="0" w:wrap="auto" w:vAnchor="margin" w:hAnchor="text" w:xAlign="left" w:yAlign="inline"/>
              <w:pBdr>
                <w:top w:val="none" w:sz="0" w:space="0" w:color="auto"/>
                <w:left w:val="none" w:sz="0" w:space="0" w:color="auto"/>
                <w:bottom w:val="none" w:sz="0" w:space="0" w:color="auto"/>
                <w:right w:val="none" w:sz="0" w:space="0" w:color="auto"/>
              </w:pBdr>
              <w:ind w:left="0" w:right="284" w:firstLine="356"/>
              <w:rPr>
                <w:rFonts w:ascii="Times New Roman" w:hAnsi="Times New Roman" w:cs="Times New Roman"/>
              </w:rPr>
            </w:pPr>
            <w:r w:rsidRPr="00F3223F">
              <w:rPr>
                <w:rFonts w:ascii="Times New Roman" w:hAnsi="Times New Roman" w:cs="Times New Roman"/>
              </w:rPr>
              <w:t>6228 : Madame Nadège BOURAKBA</w:t>
            </w:r>
          </w:p>
          <w:p w:rsidR="00811FB9" w:rsidRPr="00F3223F" w:rsidRDefault="00811FB9" w:rsidP="00CE037D">
            <w:pPr>
              <w:pStyle w:val="Normal-TBL-BR-1"/>
              <w:tabs>
                <w:tab w:val="left" w:pos="1490"/>
              </w:tabs>
              <w:ind w:right="284" w:firstLine="356"/>
              <w:jc w:val="left"/>
              <w:rPr>
                <w:rFonts w:ascii="CG Times" w:hAnsi="CG Times" w:cs="CG Times"/>
                <w:sz w:val="20"/>
                <w:szCs w:val="20"/>
              </w:rPr>
            </w:pPr>
          </w:p>
          <w:p w:rsidR="00811FB9" w:rsidRPr="00F3223F" w:rsidRDefault="00811FB9" w:rsidP="00CE037D">
            <w:pPr>
              <w:pStyle w:val="Normal-TBL-BR-1"/>
              <w:tabs>
                <w:tab w:val="left" w:pos="1490"/>
              </w:tabs>
              <w:ind w:right="284" w:firstLine="356"/>
              <w:jc w:val="left"/>
              <w:rPr>
                <w:rFonts w:ascii="CG Times" w:hAnsi="CG Times" w:cs="CG Times"/>
                <w:sz w:val="20"/>
                <w:szCs w:val="20"/>
              </w:rPr>
            </w:pPr>
            <w:r w:rsidRPr="00F3223F">
              <w:rPr>
                <w:rFonts w:ascii="CG Times" w:hAnsi="CG Times" w:cs="CG Times"/>
                <w:sz w:val="20"/>
                <w:szCs w:val="20"/>
              </w:rPr>
              <w:t xml:space="preserve">Vos Références : </w:t>
            </w:r>
          </w:p>
          <w:p w:rsidR="00811FB9" w:rsidRDefault="00811FB9" w:rsidP="00CE037D">
            <w:pPr>
              <w:pStyle w:val="Normal-TBL-BR-1"/>
              <w:tabs>
                <w:tab w:val="left" w:pos="1490"/>
              </w:tabs>
              <w:ind w:left="1065" w:right="284" w:firstLine="356"/>
              <w:jc w:val="left"/>
              <w:rPr>
                <w:rFonts w:ascii="CG Times" w:hAnsi="CG Times" w:cs="CG Times"/>
                <w:sz w:val="20"/>
                <w:szCs w:val="20"/>
              </w:rPr>
            </w:pPr>
          </w:p>
          <w:p w:rsidR="00150501" w:rsidRDefault="00811FB9" w:rsidP="00CE037D">
            <w:pPr>
              <w:pStyle w:val="Normal-TBL-BR-1"/>
              <w:tabs>
                <w:tab w:val="left" w:pos="1490"/>
              </w:tabs>
              <w:ind w:right="284" w:firstLine="356"/>
              <w:jc w:val="left"/>
              <w:rPr>
                <w:rFonts w:ascii="CG Times" w:hAnsi="CG Times" w:cs="CG Times"/>
                <w:b/>
                <w:sz w:val="20"/>
                <w:szCs w:val="20"/>
              </w:rPr>
            </w:pPr>
            <w:r>
              <w:rPr>
                <w:rFonts w:ascii="CG Times" w:hAnsi="CG Times" w:cs="CG Times"/>
                <w:sz w:val="20"/>
                <w:szCs w:val="20"/>
              </w:rPr>
              <w:t xml:space="preserve">Objet : </w:t>
            </w:r>
            <w:r w:rsidR="00420C74" w:rsidRPr="00283645">
              <w:rPr>
                <w:rFonts w:ascii="CG Times" w:hAnsi="CG Times" w:cs="CG Times"/>
                <w:b/>
                <w:sz w:val="20"/>
                <w:szCs w:val="20"/>
              </w:rPr>
              <w:t xml:space="preserve">AVERTISSEMENT </w:t>
            </w:r>
            <w:r w:rsidRPr="00283645">
              <w:rPr>
                <w:rFonts w:ascii="CG Times" w:hAnsi="CG Times" w:cs="CG Times"/>
                <w:b/>
                <w:sz w:val="20"/>
                <w:szCs w:val="20"/>
              </w:rPr>
              <w:t xml:space="preserve">A DECLARER </w:t>
            </w:r>
            <w:r w:rsidR="00BE1C8D">
              <w:rPr>
                <w:rFonts w:ascii="CG Times" w:hAnsi="CG Times" w:cs="CG Times"/>
                <w:b/>
                <w:sz w:val="20"/>
                <w:szCs w:val="20"/>
              </w:rPr>
              <w:t>D</w:t>
            </w:r>
            <w:r w:rsidR="00420C74" w:rsidRPr="00283645">
              <w:rPr>
                <w:rFonts w:ascii="CG Times" w:hAnsi="CG Times" w:cs="CG Times"/>
                <w:b/>
                <w:sz w:val="20"/>
                <w:szCs w:val="20"/>
              </w:rPr>
              <w:t>ES</w:t>
            </w:r>
            <w:r w:rsidRPr="00283645">
              <w:rPr>
                <w:rFonts w:ascii="CG Times" w:hAnsi="CG Times" w:cs="CG Times"/>
                <w:b/>
                <w:sz w:val="20"/>
                <w:szCs w:val="20"/>
              </w:rPr>
              <w:t xml:space="preserve"> CREANCE</w:t>
            </w:r>
            <w:r w:rsidR="00420C74" w:rsidRPr="00283645">
              <w:rPr>
                <w:rFonts w:ascii="CG Times" w:hAnsi="CG Times" w:cs="CG Times"/>
                <w:b/>
                <w:sz w:val="20"/>
                <w:szCs w:val="20"/>
              </w:rPr>
              <w:t>S</w:t>
            </w:r>
            <w:r w:rsidR="00283645">
              <w:rPr>
                <w:rFonts w:ascii="CG Times" w:hAnsi="CG Times" w:cs="CG Times"/>
                <w:b/>
                <w:sz w:val="20"/>
                <w:szCs w:val="20"/>
              </w:rPr>
              <w:t xml:space="preserve"> </w:t>
            </w:r>
          </w:p>
          <w:p w:rsidR="00283645" w:rsidRDefault="00283645" w:rsidP="0031453E">
            <w:pPr>
              <w:pStyle w:val="Normal-TBL-BR-1"/>
              <w:tabs>
                <w:tab w:val="left" w:pos="1490"/>
              </w:tabs>
              <w:ind w:right="284"/>
              <w:jc w:val="left"/>
              <w:rPr>
                <w:rFonts w:ascii="CG Times" w:hAnsi="CG Times" w:cs="CG Times"/>
                <w:sz w:val="20"/>
                <w:szCs w:val="20"/>
              </w:rPr>
            </w:pPr>
          </w:p>
          <w:p w:rsidR="00FA4CE9" w:rsidRPr="000617F8" w:rsidRDefault="00FA4CE9" w:rsidP="0031453E">
            <w:pPr>
              <w:pStyle w:val="Normal-TBL-BR-1"/>
              <w:tabs>
                <w:tab w:val="left" w:pos="1490"/>
              </w:tabs>
              <w:ind w:right="284"/>
              <w:jc w:val="left"/>
              <w:rPr>
                <w:rFonts w:ascii="CG Times" w:hAnsi="CG Times" w:cs="CG Times"/>
                <w:sz w:val="20"/>
                <w:szCs w:val="20"/>
              </w:rPr>
            </w:pPr>
          </w:p>
          <w:p w:rsidR="00CE037D" w:rsidRPr="00B4677C" w:rsidRDefault="00CE037D" w:rsidP="008B38B6">
            <w:pPr>
              <w:pStyle w:val="Normal-TBL-BR-1"/>
              <w:tabs>
                <w:tab w:val="left" w:pos="1490"/>
              </w:tabs>
              <w:ind w:right="284" w:firstLine="356"/>
              <w:jc w:val="left"/>
              <w:rPr>
                <w:rFonts w:ascii="CG Times" w:hAnsi="CG Times" w:cs="CG Times"/>
                <w:b/>
                <w:bCs/>
                <w:caps/>
                <w:sz w:val="20"/>
                <w:szCs w:val="20"/>
              </w:rPr>
            </w:pPr>
          </w:p>
        </w:tc>
        <w:tc>
          <w:tcPr>
            <w:tcW w:w="5954" w:type="dxa"/>
            <w:tcBorders>
              <w:top w:val="nil"/>
              <w:left w:val="nil"/>
              <w:bottom w:val="nil"/>
              <w:right w:val="nil"/>
            </w:tcBorders>
          </w:tcPr>
          <w:p w:rsidR="002736E1" w:rsidRDefault="00DF1B29" w:rsidP="00590E30">
            <w:pPr>
              <w:pStyle w:val="Normal-TBL-BR-1"/>
              <w:jc w:val="left"/>
              <w:rPr>
                <w:rFonts w:ascii="Times New Roman" w:hAnsi="Times New Roman" w:cs="Times New Roman"/>
                <w:b/>
                <w:bCs/>
                <w:sz w:val="20"/>
                <w:szCs w:val="20"/>
              </w:rPr>
            </w:pPr>
            <w:r w:rsidRPr="00474F81">
              <w:rPr>
                <w:rFonts w:ascii="Times New Roman" w:hAnsi="Times New Roman" w:cs="Times New Roman"/>
                <w:b/>
                <w:bCs/>
                <w:sz w:val="20"/>
                <w:szCs w:val="20"/>
              </w:rPr>
              <w:t xml:space="preserve">POLE DE RECOUVREMENT </w:t>
            </w:r>
          </w:p>
          <w:p w:rsidR="00594C27" w:rsidRPr="00474F81" w:rsidRDefault="00DF1B29" w:rsidP="00590E30">
            <w:pPr>
              <w:pStyle w:val="Normal-TBL-BR-1"/>
              <w:jc w:val="left"/>
              <w:rPr>
                <w:rFonts w:ascii="Times New Roman" w:hAnsi="Times New Roman" w:cs="Times New Roman"/>
                <w:b/>
                <w:bCs/>
                <w:sz w:val="20"/>
                <w:szCs w:val="20"/>
              </w:rPr>
            </w:pPr>
            <w:bookmarkStart w:id="0" w:name="_GoBack"/>
            <w:bookmarkEnd w:id="0"/>
            <w:r w:rsidRPr="00474F81">
              <w:rPr>
                <w:rFonts w:ascii="Times New Roman" w:hAnsi="Times New Roman" w:cs="Times New Roman"/>
                <w:b/>
                <w:bCs/>
                <w:sz w:val="20"/>
                <w:szCs w:val="20"/>
              </w:rPr>
              <w:t xml:space="preserve">SPECIALISE DU VAR </w:t>
            </w:r>
          </w:p>
          <w:p w:rsidR="00811FB9" w:rsidRPr="00474F81" w:rsidRDefault="00DF1B29" w:rsidP="00590E30">
            <w:pPr>
              <w:pStyle w:val="Normal-TBL-BR-1"/>
              <w:jc w:val="left"/>
              <w:rPr>
                <w:rFonts w:ascii="Times New Roman" w:hAnsi="Times New Roman" w:cs="Times New Roman"/>
                <w:b/>
                <w:bCs/>
                <w:sz w:val="20"/>
                <w:szCs w:val="20"/>
              </w:rPr>
            </w:pPr>
            <w:r w:rsidRPr="00474F81">
              <w:rPr>
                <w:rFonts w:ascii="Times New Roman" w:hAnsi="Times New Roman" w:cs="Times New Roman"/>
                <w:b/>
                <w:bCs/>
                <w:sz w:val="20"/>
                <w:szCs w:val="20"/>
              </w:rPr>
              <w:t>20 Place Noël Blache</w:t>
            </w:r>
            <w:r w:rsidRPr="00474F81">
              <w:rPr>
                <w:rFonts w:ascii="Times New Roman" w:hAnsi="Times New Roman" w:cs="Times New Roman"/>
                <w:b/>
                <w:bCs/>
                <w:sz w:val="20"/>
                <w:szCs w:val="20"/>
              </w:rPr>
              <w:br/>
              <w:t>CS 60202</w:t>
            </w:r>
          </w:p>
          <w:p w:rsidR="00811FB9" w:rsidRDefault="00DF1B29" w:rsidP="00590E30">
            <w:pPr>
              <w:pStyle w:val="Normal-TBL-BR-1"/>
              <w:jc w:val="left"/>
              <w:rPr>
                <w:rFonts w:ascii="CG Times" w:hAnsi="CG Times" w:cs="CG Times"/>
                <w:b/>
                <w:bCs/>
              </w:rPr>
            </w:pPr>
            <w:r w:rsidRPr="00474F81">
              <w:rPr>
                <w:rFonts w:ascii="Times New Roman" w:hAnsi="Times New Roman" w:cs="Times New Roman"/>
                <w:b/>
                <w:bCs/>
                <w:sz w:val="20"/>
                <w:szCs w:val="20"/>
              </w:rPr>
              <w:t>83081 TOULON CDX</w:t>
            </w:r>
          </w:p>
          <w:p w:rsidR="00811FB9" w:rsidRDefault="00811FB9">
            <w:pPr>
              <w:pStyle w:val="Normal-TBL-BR-1"/>
              <w:ind w:left="284"/>
              <w:jc w:val="left"/>
              <w:rPr>
                <w:rFonts w:ascii="CG Times" w:hAnsi="CG Times" w:cs="CG Times"/>
              </w:rPr>
            </w:pPr>
          </w:p>
          <w:p w:rsidR="00811FB9" w:rsidRDefault="00811FB9" w:rsidP="00C66D72">
            <w:pPr>
              <w:pStyle w:val="Normal-TBL-BR-1"/>
              <w:jc w:val="left"/>
              <w:rPr>
                <w:rFonts w:ascii="CG Times" w:hAnsi="CG Times" w:cs="CG Times"/>
              </w:rPr>
            </w:pPr>
          </w:p>
          <w:p w:rsidR="00811FB9" w:rsidRPr="00F3223F" w:rsidRDefault="00811FB9" w:rsidP="00305BFF">
            <w:pPr>
              <w:pStyle w:val="Normal-TBL-BR-1"/>
              <w:jc w:val="left"/>
              <w:rPr>
                <w:rFonts w:ascii="CG Times" w:hAnsi="CG Times" w:cs="CG Times"/>
                <w:sz w:val="20"/>
                <w:szCs w:val="20"/>
              </w:rPr>
            </w:pPr>
            <w:r w:rsidRPr="00F3223F">
              <w:rPr>
                <w:rFonts w:ascii="CG Times" w:hAnsi="CG Times" w:cs="CG Times"/>
                <w:sz w:val="20"/>
                <w:szCs w:val="20"/>
              </w:rPr>
              <w:t>TOULON, le 27 mai 2025</w:t>
            </w:r>
          </w:p>
          <w:p w:rsidR="00811FB9" w:rsidRDefault="00811FB9">
            <w:pPr>
              <w:pStyle w:val="Normal-TBL-BR-1"/>
              <w:ind w:left="284"/>
              <w:jc w:val="left"/>
              <w:rPr>
                <w:rFonts w:ascii="CG Times" w:hAnsi="CG Times" w:cs="CG Times"/>
              </w:rPr>
            </w:pPr>
          </w:p>
          <w:p w:rsidR="00811FB9" w:rsidRDefault="00811FB9">
            <w:pPr>
              <w:pStyle w:val="Normal-TBL-BR-1"/>
              <w:ind w:left="284"/>
              <w:jc w:val="left"/>
              <w:rPr>
                <w:rFonts w:ascii="CG Times" w:hAnsi="CG Times" w:cs="CG Times"/>
              </w:rPr>
            </w:pPr>
          </w:p>
        </w:tc>
      </w:tr>
    </w:tbl>
    <w:tbl>
      <w:tblPr>
        <w:tblStyle w:val="Grilledutableau"/>
        <w:tblW w:w="0" w:type="auto"/>
        <w:tblLook w:val="04A0" w:firstRow="1" w:lastRow="0" w:firstColumn="1" w:lastColumn="0" w:noHBand="0" w:noVBand="1"/>
      </w:tblPr>
      <w:tblGrid>
        <w:gridCol w:w="9748"/>
      </w:tblGrid>
      <w:tr w:rsidR="008B38B6" w:rsidTr="008B38B6">
        <w:trPr>
          <w:trHeight w:val="1014"/>
        </w:trPr>
        <w:tc>
          <w:tcPr>
            <w:tcW w:w="9748" w:type="dxa"/>
            <w:vAlign w:val="center"/>
          </w:tcPr>
          <w:p w:rsidR="008B38B6" w:rsidRDefault="008B38B6" w:rsidP="008B38B6">
            <w:pPr>
              <w:pStyle w:val="Normal-TBL-BR-1"/>
              <w:jc w:val="center"/>
              <w:rPr>
                <w:rFonts w:ascii="Times New Roman" w:hAnsi="Times New Roman" w:cs="Times New Roman"/>
                <w:b/>
                <w:bCs/>
                <w:sz w:val="16"/>
                <w:szCs w:val="16"/>
              </w:rPr>
            </w:pPr>
          </w:p>
          <w:p w:rsidR="008B38B6" w:rsidRPr="00717D35" w:rsidRDefault="008B38B6" w:rsidP="008B38B6">
            <w:pPr>
              <w:pStyle w:val="Normal-TBL-BR-1"/>
              <w:jc w:val="center"/>
              <w:rPr>
                <w:rFonts w:ascii="Symbol" w:hAnsi="Symbol" w:cs="Symbol"/>
                <w:b/>
                <w:bCs/>
                <w:sz w:val="16"/>
                <w:szCs w:val="16"/>
              </w:rPr>
            </w:pPr>
            <w:r w:rsidRPr="00717D35">
              <w:rPr>
                <w:rFonts w:ascii="Times New Roman" w:hAnsi="Times New Roman" w:cs="Times New Roman"/>
                <w:b/>
                <w:bCs/>
                <w:sz w:val="16"/>
                <w:szCs w:val="16"/>
              </w:rPr>
              <w:t xml:space="preserve">Avertissement à déclarer une créance. Délais à respecter - </w:t>
            </w:r>
            <w:proofErr w:type="spellStart"/>
            <w:r w:rsidRPr="00717D35">
              <w:rPr>
                <w:rFonts w:ascii="Times New Roman" w:hAnsi="Times New Roman" w:cs="Times New Roman"/>
                <w:bCs/>
                <w:sz w:val="16"/>
                <w:szCs w:val="16"/>
              </w:rPr>
              <w:t>Invito</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rPr>
              <w:t>all’insinuazione</w:t>
            </w:r>
            <w:proofErr w:type="spellEnd"/>
            <w:r w:rsidRPr="00717D35">
              <w:rPr>
                <w:rFonts w:ascii="Times New Roman" w:hAnsi="Times New Roman" w:cs="Times New Roman"/>
                <w:bCs/>
                <w:sz w:val="16"/>
                <w:szCs w:val="16"/>
              </w:rPr>
              <w:t xml:space="preserve"> di un </w:t>
            </w:r>
            <w:proofErr w:type="spellStart"/>
            <w:r w:rsidRPr="00717D35">
              <w:rPr>
                <w:rFonts w:ascii="Times New Roman" w:hAnsi="Times New Roman" w:cs="Times New Roman"/>
                <w:bCs/>
                <w:sz w:val="16"/>
                <w:szCs w:val="16"/>
              </w:rPr>
              <w:t>credito</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lang w:val="nl-NL"/>
              </w:rPr>
              <w:t>Termine</w:t>
            </w:r>
            <w:proofErr w:type="spellEnd"/>
            <w:r w:rsidRPr="00717D35">
              <w:rPr>
                <w:rFonts w:ascii="Times New Roman" w:hAnsi="Times New Roman" w:cs="Times New Roman"/>
                <w:bCs/>
                <w:sz w:val="16"/>
                <w:szCs w:val="16"/>
                <w:lang w:val="nl-NL"/>
              </w:rPr>
              <w:t xml:space="preserve"> da </w:t>
            </w:r>
            <w:proofErr w:type="spellStart"/>
            <w:r w:rsidRPr="00717D35">
              <w:rPr>
                <w:rFonts w:ascii="Times New Roman" w:hAnsi="Times New Roman" w:cs="Times New Roman"/>
                <w:bCs/>
                <w:sz w:val="16"/>
                <w:szCs w:val="16"/>
                <w:lang w:val="nl-NL"/>
              </w:rPr>
              <w:t>osservare</w:t>
            </w:r>
            <w:proofErr w:type="spellEnd"/>
            <w:r w:rsidRPr="00717D35">
              <w:rPr>
                <w:rFonts w:ascii="Times New Roman" w:hAnsi="Times New Roman" w:cs="Times New Roman"/>
                <w:b/>
                <w:bCs/>
                <w:sz w:val="16"/>
                <w:szCs w:val="16"/>
                <w:lang w:val="nl-NL"/>
              </w:rPr>
              <w:t xml:space="preserve"> – Oproep tot indiening van schuldvorderingen. In acht te nemen termijnen - </w:t>
            </w:r>
            <w:proofErr w:type="spellStart"/>
            <w:r w:rsidRPr="00717D35">
              <w:rPr>
                <w:rFonts w:ascii="Times New Roman" w:hAnsi="Times New Roman" w:cs="Times New Roman"/>
                <w:bCs/>
                <w:sz w:val="16"/>
                <w:szCs w:val="16"/>
                <w:lang w:val="nl-NL"/>
              </w:rPr>
              <w:t>Anmodan</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att</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anmaäla</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fordran</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Tidsfrister</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att</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nl-NL"/>
              </w:rPr>
              <w:t>iaktta</w:t>
            </w:r>
            <w:proofErr w:type="spellEnd"/>
            <w:r w:rsidRPr="00717D35">
              <w:rPr>
                <w:rFonts w:ascii="Times New Roman" w:hAnsi="Times New Roman" w:cs="Times New Roman"/>
                <w:b/>
                <w:bCs/>
                <w:sz w:val="16"/>
                <w:szCs w:val="16"/>
                <w:lang w:val="nl-NL"/>
              </w:rPr>
              <w:t xml:space="preserve"> - </w:t>
            </w:r>
            <w:proofErr w:type="spellStart"/>
            <w:r w:rsidRPr="00717D35">
              <w:rPr>
                <w:rFonts w:ascii="Times New Roman" w:hAnsi="Times New Roman" w:cs="Times New Roman"/>
                <w:b/>
                <w:bCs/>
                <w:sz w:val="16"/>
                <w:szCs w:val="16"/>
                <w:lang w:val="nl-NL"/>
              </w:rPr>
              <w:t>Kehotus</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saatavan</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ilmoittamiseen</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Noudatettavat</w:t>
            </w:r>
            <w:proofErr w:type="spellEnd"/>
            <w:r w:rsidRPr="00717D35">
              <w:rPr>
                <w:rFonts w:ascii="Times New Roman" w:hAnsi="Times New Roman" w:cs="Times New Roman"/>
                <w:b/>
                <w:bCs/>
                <w:sz w:val="16"/>
                <w:szCs w:val="16"/>
                <w:lang w:val="nl-NL"/>
              </w:rPr>
              <w:t xml:space="preserve"> </w:t>
            </w:r>
            <w:proofErr w:type="spellStart"/>
            <w:r w:rsidRPr="00717D35">
              <w:rPr>
                <w:rFonts w:ascii="Times New Roman" w:hAnsi="Times New Roman" w:cs="Times New Roman"/>
                <w:b/>
                <w:bCs/>
                <w:sz w:val="16"/>
                <w:szCs w:val="16"/>
                <w:lang w:val="nl-NL"/>
              </w:rPr>
              <w:t>määräajat</w:t>
            </w:r>
            <w:proofErr w:type="spellEnd"/>
            <w:r w:rsidRPr="00717D35">
              <w:rPr>
                <w:rFonts w:ascii="Times New Roman" w:hAnsi="Times New Roman" w:cs="Times New Roman"/>
                <w:b/>
                <w:bCs/>
                <w:sz w:val="16"/>
                <w:szCs w:val="16"/>
                <w:lang w:val="nl-NL"/>
              </w:rPr>
              <w:t xml:space="preserve"> - </w:t>
            </w:r>
            <w:r w:rsidRPr="00717D35">
              <w:rPr>
                <w:rFonts w:ascii="Times New Roman" w:hAnsi="Times New Roman" w:cs="Times New Roman"/>
                <w:bCs/>
                <w:sz w:val="16"/>
                <w:szCs w:val="16"/>
                <w:lang w:val="nl-NL"/>
              </w:rPr>
              <w:t xml:space="preserve">Aviso de </w:t>
            </w:r>
            <w:proofErr w:type="spellStart"/>
            <w:r w:rsidRPr="00717D35">
              <w:rPr>
                <w:rFonts w:ascii="Times New Roman" w:hAnsi="Times New Roman" w:cs="Times New Roman"/>
                <w:bCs/>
                <w:sz w:val="16"/>
                <w:szCs w:val="16"/>
                <w:lang w:val="nl-NL"/>
              </w:rPr>
              <w:t>reclamaçäo</w:t>
            </w:r>
            <w:proofErr w:type="spellEnd"/>
            <w:r w:rsidRPr="00717D35">
              <w:rPr>
                <w:rFonts w:ascii="Times New Roman" w:hAnsi="Times New Roman" w:cs="Times New Roman"/>
                <w:bCs/>
                <w:sz w:val="16"/>
                <w:szCs w:val="16"/>
                <w:lang w:val="nl-NL"/>
              </w:rPr>
              <w:t xml:space="preserve"> de </w:t>
            </w:r>
            <w:proofErr w:type="spellStart"/>
            <w:r w:rsidRPr="00717D35">
              <w:rPr>
                <w:rFonts w:ascii="Times New Roman" w:hAnsi="Times New Roman" w:cs="Times New Roman"/>
                <w:bCs/>
                <w:sz w:val="16"/>
                <w:szCs w:val="16"/>
                <w:lang w:val="nl-NL"/>
              </w:rPr>
              <w:t>creditos</w:t>
            </w:r>
            <w:proofErr w:type="spellEnd"/>
            <w:r w:rsidRPr="00717D35">
              <w:rPr>
                <w:rFonts w:ascii="Times New Roman" w:hAnsi="Times New Roman" w:cs="Times New Roman"/>
                <w:bCs/>
                <w:sz w:val="16"/>
                <w:szCs w:val="16"/>
                <w:lang w:val="nl-NL"/>
              </w:rPr>
              <w:t xml:space="preserve">. </w:t>
            </w:r>
            <w:proofErr w:type="spellStart"/>
            <w:r w:rsidRPr="00717D35">
              <w:rPr>
                <w:rFonts w:ascii="Times New Roman" w:hAnsi="Times New Roman" w:cs="Times New Roman"/>
                <w:bCs/>
                <w:sz w:val="16"/>
                <w:szCs w:val="16"/>
                <w:lang w:val="en-GB"/>
              </w:rPr>
              <w:t>Prazos</w:t>
            </w:r>
            <w:proofErr w:type="spellEnd"/>
            <w:r w:rsidRPr="00717D35">
              <w:rPr>
                <w:rFonts w:ascii="Times New Roman" w:hAnsi="Times New Roman" w:cs="Times New Roman"/>
                <w:bCs/>
                <w:sz w:val="16"/>
                <w:szCs w:val="16"/>
                <w:lang w:val="en-GB"/>
              </w:rPr>
              <w:t xml:space="preserve"> </w:t>
            </w:r>
            <w:proofErr w:type="spellStart"/>
            <w:r w:rsidRPr="00717D35">
              <w:rPr>
                <w:rFonts w:ascii="Times New Roman" w:hAnsi="Times New Roman" w:cs="Times New Roman"/>
                <w:bCs/>
                <w:sz w:val="16"/>
                <w:szCs w:val="16"/>
                <w:lang w:val="en-GB"/>
              </w:rPr>
              <w:t>legais</w:t>
            </w:r>
            <w:proofErr w:type="spellEnd"/>
            <w:r w:rsidRPr="00717D35">
              <w:rPr>
                <w:rFonts w:ascii="Times New Roman" w:hAnsi="Times New Roman" w:cs="Times New Roman"/>
                <w:bCs/>
                <w:sz w:val="16"/>
                <w:szCs w:val="16"/>
                <w:lang w:val="en-GB"/>
              </w:rPr>
              <w:t xml:space="preserve"> à </w:t>
            </w:r>
            <w:proofErr w:type="spellStart"/>
            <w:r w:rsidRPr="00717D35">
              <w:rPr>
                <w:rFonts w:ascii="Times New Roman" w:hAnsi="Times New Roman" w:cs="Times New Roman"/>
                <w:bCs/>
                <w:sz w:val="16"/>
                <w:szCs w:val="16"/>
                <w:lang w:val="en-GB"/>
              </w:rPr>
              <w:t>observar</w:t>
            </w:r>
            <w:proofErr w:type="spellEnd"/>
            <w:r w:rsidRPr="00717D35">
              <w:rPr>
                <w:rFonts w:ascii="Times New Roman" w:hAnsi="Times New Roman" w:cs="Times New Roman"/>
                <w:b/>
                <w:bCs/>
                <w:sz w:val="16"/>
                <w:szCs w:val="16"/>
                <w:lang w:val="en-GB"/>
              </w:rPr>
              <w:t xml:space="preserve"> - Invitation to lodge a claim. </w:t>
            </w:r>
            <w:r w:rsidRPr="00717D35">
              <w:rPr>
                <w:rFonts w:ascii="Times New Roman" w:hAnsi="Times New Roman" w:cs="Times New Roman"/>
                <w:b/>
                <w:bCs/>
                <w:sz w:val="16"/>
                <w:szCs w:val="16"/>
                <w:lang w:val="de-DE"/>
              </w:rPr>
              <w:t xml:space="preserve">Time </w:t>
            </w:r>
            <w:proofErr w:type="spellStart"/>
            <w:r w:rsidRPr="00717D35">
              <w:rPr>
                <w:rFonts w:ascii="Times New Roman" w:hAnsi="Times New Roman" w:cs="Times New Roman"/>
                <w:b/>
                <w:bCs/>
                <w:sz w:val="16"/>
                <w:szCs w:val="16"/>
                <w:lang w:val="de-DE"/>
              </w:rPr>
              <w:t>limits</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to</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be</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observed</w:t>
            </w:r>
            <w:proofErr w:type="spellEnd"/>
            <w:r w:rsidRPr="00717D35">
              <w:rPr>
                <w:rFonts w:ascii="Times New Roman" w:hAnsi="Times New Roman" w:cs="Times New Roman"/>
                <w:b/>
                <w:bCs/>
                <w:sz w:val="16"/>
                <w:szCs w:val="16"/>
                <w:lang w:val="de-DE"/>
              </w:rPr>
              <w:t xml:space="preserve"> - </w:t>
            </w:r>
            <w:r w:rsidRPr="00717D35">
              <w:rPr>
                <w:rFonts w:ascii="Times New Roman" w:hAnsi="Times New Roman" w:cs="Times New Roman"/>
                <w:bCs/>
                <w:sz w:val="16"/>
                <w:szCs w:val="16"/>
                <w:lang w:val="de-DE"/>
              </w:rPr>
              <w:t xml:space="preserve">Aufforderung zur Anmeldung einer Forderung Etwaige Fristen </w:t>
            </w:r>
            <w:proofErr w:type="spellStart"/>
            <w:r w:rsidRPr="00717D35">
              <w:rPr>
                <w:rFonts w:ascii="Times New Roman" w:hAnsi="Times New Roman" w:cs="Times New Roman"/>
                <w:bCs/>
                <w:sz w:val="16"/>
                <w:szCs w:val="16"/>
                <w:lang w:val="de-DE"/>
              </w:rPr>
              <w:t>beatchen</w:t>
            </w:r>
            <w:proofErr w:type="spellEnd"/>
            <w:r w:rsidRPr="00717D35">
              <w:rPr>
                <w:rFonts w:ascii="Times New Roman" w:hAnsi="Times New Roman" w:cs="Times New Roman"/>
                <w:b/>
                <w:bCs/>
                <w:sz w:val="16"/>
                <w:szCs w:val="16"/>
                <w:lang w:val="de-DE"/>
              </w:rPr>
              <w:t xml:space="preserve"> - </w:t>
            </w:r>
            <w:proofErr w:type="spellStart"/>
            <w:r w:rsidRPr="00717D35">
              <w:rPr>
                <w:rFonts w:ascii="Times New Roman" w:hAnsi="Times New Roman" w:cs="Times New Roman"/>
                <w:b/>
                <w:bCs/>
                <w:sz w:val="16"/>
                <w:szCs w:val="16"/>
                <w:lang w:val="de-DE"/>
              </w:rPr>
              <w:t>Opfordring</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til</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anmeldelse</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af</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lang w:val="de-DE"/>
              </w:rPr>
              <w:t>fordringer</w:t>
            </w:r>
            <w:proofErr w:type="spellEnd"/>
            <w:r w:rsidRPr="00717D35">
              <w:rPr>
                <w:rFonts w:ascii="Times New Roman" w:hAnsi="Times New Roman" w:cs="Times New Roman"/>
                <w:b/>
                <w:bCs/>
                <w:sz w:val="16"/>
                <w:szCs w:val="16"/>
                <w:lang w:val="de-DE"/>
              </w:rPr>
              <w:t xml:space="preserve">. </w:t>
            </w:r>
            <w:proofErr w:type="spellStart"/>
            <w:r w:rsidRPr="00717D35">
              <w:rPr>
                <w:rFonts w:ascii="Times New Roman" w:hAnsi="Times New Roman" w:cs="Times New Roman"/>
                <w:b/>
                <w:bCs/>
                <w:sz w:val="16"/>
                <w:szCs w:val="16"/>
              </w:rPr>
              <w:t>Vaer</w:t>
            </w:r>
            <w:proofErr w:type="spellEnd"/>
            <w:r w:rsidRPr="00717D35">
              <w:rPr>
                <w:rFonts w:ascii="Times New Roman" w:hAnsi="Times New Roman" w:cs="Times New Roman"/>
                <w:b/>
                <w:bCs/>
                <w:sz w:val="16"/>
                <w:szCs w:val="16"/>
              </w:rPr>
              <w:t xml:space="preserve"> </w:t>
            </w:r>
            <w:proofErr w:type="spellStart"/>
            <w:r w:rsidRPr="00717D35">
              <w:rPr>
                <w:rFonts w:ascii="Times New Roman" w:hAnsi="Times New Roman" w:cs="Times New Roman"/>
                <w:b/>
                <w:bCs/>
                <w:sz w:val="16"/>
                <w:szCs w:val="16"/>
              </w:rPr>
              <w:t>opmaerksom</w:t>
            </w:r>
            <w:proofErr w:type="spellEnd"/>
            <w:r w:rsidRPr="00717D35">
              <w:rPr>
                <w:rFonts w:ascii="Times New Roman" w:hAnsi="Times New Roman" w:cs="Times New Roman"/>
                <w:b/>
                <w:bCs/>
                <w:sz w:val="16"/>
                <w:szCs w:val="16"/>
              </w:rPr>
              <w:t xml:space="preserve"> </w:t>
            </w:r>
            <w:proofErr w:type="spellStart"/>
            <w:r w:rsidRPr="00717D35">
              <w:rPr>
                <w:rFonts w:ascii="Times New Roman" w:hAnsi="Times New Roman" w:cs="Times New Roman"/>
                <w:b/>
                <w:bCs/>
                <w:sz w:val="16"/>
                <w:szCs w:val="16"/>
              </w:rPr>
              <w:t>pa</w:t>
            </w:r>
            <w:proofErr w:type="spellEnd"/>
            <w:r w:rsidRPr="00717D35">
              <w:rPr>
                <w:rFonts w:ascii="Times New Roman" w:hAnsi="Times New Roman" w:cs="Times New Roman"/>
                <w:b/>
                <w:bCs/>
                <w:sz w:val="16"/>
                <w:szCs w:val="16"/>
              </w:rPr>
              <w:t xml:space="preserve"> </w:t>
            </w:r>
            <w:proofErr w:type="spellStart"/>
            <w:r w:rsidRPr="00717D35">
              <w:rPr>
                <w:rFonts w:ascii="Times New Roman" w:hAnsi="Times New Roman" w:cs="Times New Roman"/>
                <w:b/>
                <w:bCs/>
                <w:sz w:val="16"/>
                <w:szCs w:val="16"/>
              </w:rPr>
              <w:t>fristerne</w:t>
            </w:r>
            <w:proofErr w:type="spellEnd"/>
            <w:r w:rsidRPr="00717D35">
              <w:rPr>
                <w:rFonts w:ascii="Times New Roman" w:hAnsi="Times New Roman" w:cs="Times New Roman"/>
                <w:b/>
                <w:bCs/>
                <w:sz w:val="16"/>
                <w:szCs w:val="16"/>
              </w:rPr>
              <w:t xml:space="preserve"> - </w:t>
            </w:r>
            <w:proofErr w:type="spellStart"/>
            <w:r w:rsidRPr="00717D35">
              <w:rPr>
                <w:rFonts w:ascii="Times New Roman" w:hAnsi="Times New Roman" w:cs="Times New Roman"/>
                <w:bCs/>
                <w:sz w:val="16"/>
                <w:szCs w:val="16"/>
              </w:rPr>
              <w:t>Convocatoria</w:t>
            </w:r>
            <w:proofErr w:type="spellEnd"/>
            <w:r w:rsidRPr="00717D35">
              <w:rPr>
                <w:rFonts w:ascii="Times New Roman" w:hAnsi="Times New Roman" w:cs="Times New Roman"/>
                <w:bCs/>
                <w:sz w:val="16"/>
                <w:szCs w:val="16"/>
              </w:rPr>
              <w:t xml:space="preserve"> para la </w:t>
            </w:r>
            <w:proofErr w:type="spellStart"/>
            <w:r w:rsidRPr="00717D35">
              <w:rPr>
                <w:rFonts w:ascii="Times New Roman" w:hAnsi="Times New Roman" w:cs="Times New Roman"/>
                <w:bCs/>
                <w:sz w:val="16"/>
                <w:szCs w:val="16"/>
              </w:rPr>
              <w:t>presentacion</w:t>
            </w:r>
            <w:proofErr w:type="spellEnd"/>
            <w:r w:rsidRPr="00717D35">
              <w:rPr>
                <w:rFonts w:ascii="Times New Roman" w:hAnsi="Times New Roman" w:cs="Times New Roman"/>
                <w:bCs/>
                <w:sz w:val="16"/>
                <w:szCs w:val="16"/>
              </w:rPr>
              <w:t xml:space="preserve"> de </w:t>
            </w:r>
            <w:proofErr w:type="spellStart"/>
            <w:r w:rsidRPr="00717D35">
              <w:rPr>
                <w:rFonts w:ascii="Times New Roman" w:hAnsi="Times New Roman" w:cs="Times New Roman"/>
                <w:bCs/>
                <w:sz w:val="16"/>
                <w:szCs w:val="16"/>
              </w:rPr>
              <w:t>creditos</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rPr>
              <w:t>Plazos</w:t>
            </w:r>
            <w:proofErr w:type="spellEnd"/>
            <w:r w:rsidRPr="00717D35">
              <w:rPr>
                <w:rFonts w:ascii="Times New Roman" w:hAnsi="Times New Roman" w:cs="Times New Roman"/>
                <w:bCs/>
                <w:sz w:val="16"/>
                <w:szCs w:val="16"/>
              </w:rPr>
              <w:t xml:space="preserve"> </w:t>
            </w:r>
            <w:proofErr w:type="spellStart"/>
            <w:r w:rsidRPr="00717D35">
              <w:rPr>
                <w:rFonts w:ascii="Times New Roman" w:hAnsi="Times New Roman" w:cs="Times New Roman"/>
                <w:bCs/>
                <w:sz w:val="16"/>
                <w:szCs w:val="16"/>
              </w:rPr>
              <w:t>aplicables</w:t>
            </w:r>
            <w:proofErr w:type="spellEnd"/>
            <w:r w:rsidRPr="00717D35">
              <w:rPr>
                <w:rFonts w:ascii="Times New Roman" w:hAnsi="Times New Roman" w:cs="Times New Roman"/>
                <w:b/>
                <w:bCs/>
                <w:sz w:val="16"/>
                <w:szCs w:val="16"/>
              </w:rPr>
              <w:t xml:space="preserve"> - </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r w:rsidRPr="00717D35">
              <w:rPr>
                <w:rFonts w:ascii="Symbol" w:hAnsi="Symbol" w:cs="Symbol"/>
                <w:b/>
                <w:bCs/>
                <w:sz w:val="16"/>
                <w:szCs w:val="16"/>
                <w:lang w:val="en-GB"/>
              </w:rPr>
              <w:t></w:t>
            </w:r>
          </w:p>
          <w:p w:rsidR="008B38B6" w:rsidRDefault="008B38B6" w:rsidP="008B38B6">
            <w:pPr>
              <w:pStyle w:val="Normal-TBL-BR-1"/>
              <w:jc w:val="center"/>
              <w:rPr>
                <w:rFonts w:ascii="Times New Roman" w:hAnsi="Times New Roman" w:cs="Times New Roman"/>
                <w:sz w:val="20"/>
                <w:szCs w:val="20"/>
              </w:rPr>
            </w:pPr>
          </w:p>
        </w:tc>
      </w:tr>
    </w:tbl>
    <w:p w:rsidR="008B38B6" w:rsidRDefault="008B38B6" w:rsidP="00CE037D">
      <w:pPr>
        <w:rPr>
          <w:rFonts w:ascii="Times New Roman" w:hAnsi="Times New Roman" w:cs="Times New Roman"/>
          <w:sz w:val="20"/>
          <w:szCs w:val="20"/>
        </w:rPr>
      </w:pPr>
    </w:p>
    <w:p w:rsidR="00811FB9" w:rsidRDefault="00811FB9" w:rsidP="00CE037D">
      <w:pPr>
        <w:rPr>
          <w:rFonts w:ascii="Times New Roman" w:hAnsi="Times New Roman" w:cs="Times New Roman"/>
          <w:sz w:val="20"/>
          <w:szCs w:val="20"/>
        </w:rPr>
      </w:pPr>
      <w:r w:rsidRPr="00AD3F35">
        <w:rPr>
          <w:rFonts w:ascii="Times New Roman" w:hAnsi="Times New Roman" w:cs="Times New Roman"/>
          <w:sz w:val="20"/>
          <w:szCs w:val="20"/>
        </w:rPr>
        <w:t>Madame, Monsieur,</w:t>
      </w:r>
    </w:p>
    <w:p w:rsidR="00CE037D" w:rsidRDefault="00CE037D" w:rsidP="00CE037D">
      <w:pPr>
        <w:rPr>
          <w:rFonts w:ascii="Times New Roman" w:hAnsi="Times New Roman" w:cs="Times New Roman"/>
          <w:sz w:val="20"/>
          <w:szCs w:val="20"/>
        </w:rPr>
      </w:pPr>
    </w:p>
    <w:p w:rsidR="00CE037D" w:rsidRDefault="00811FB9" w:rsidP="00CE037D">
      <w:pPr>
        <w:rPr>
          <w:rFonts w:ascii="Times New Roman" w:hAnsi="Times New Roman" w:cs="Times New Roman"/>
          <w:sz w:val="20"/>
          <w:szCs w:val="20"/>
        </w:rPr>
      </w:pPr>
      <w:r w:rsidRPr="00AD3F35">
        <w:rPr>
          <w:rFonts w:ascii="Times New Roman" w:hAnsi="Times New Roman" w:cs="Times New Roman"/>
          <w:sz w:val="20"/>
          <w:szCs w:val="20"/>
        </w:rPr>
        <w:t xml:space="preserve">J’ai l’honneur de vous informer que par jugement en date du </w:t>
      </w:r>
      <w:r w:rsidR="007B45F4" w:rsidRPr="007B45F4">
        <w:rPr>
          <w:rFonts w:ascii="Times New Roman" w:hAnsi="Times New Roman" w:cs="Times New Roman"/>
          <w:sz w:val="20"/>
          <w:szCs w:val="20"/>
        </w:rPr>
        <w:t>15 mai 2025</w:t>
      </w:r>
      <w:r w:rsidRPr="00AD3F35">
        <w:rPr>
          <w:rFonts w:ascii="Times New Roman" w:hAnsi="Times New Roman" w:cs="Times New Roman"/>
          <w:sz w:val="20"/>
          <w:szCs w:val="20"/>
        </w:rPr>
        <w:t xml:space="preserve">, le Tribunal Judiciaire de TOULON a ouvert une procédure </w:t>
      </w:r>
      <w:r w:rsidR="00036CF9">
        <w:rPr>
          <w:rFonts w:ascii="Times New Roman" w:hAnsi="Times New Roman" w:cs="Times New Roman"/>
          <w:sz w:val="20"/>
          <w:szCs w:val="20"/>
        </w:rPr>
        <w:t xml:space="preserve">de </w:t>
      </w:r>
      <w:r w:rsidR="00036CF9" w:rsidRPr="00036CF9">
        <w:rPr>
          <w:rFonts w:ascii="Times New Roman" w:hAnsi="Times New Roman" w:cs="Times New Roman"/>
          <w:sz w:val="20"/>
          <w:szCs w:val="20"/>
        </w:rPr>
        <w:t>Liquidation Judiciaire</w:t>
      </w:r>
      <w:r w:rsidRPr="00AD3F35">
        <w:rPr>
          <w:rFonts w:ascii="Times New Roman" w:hAnsi="Times New Roman" w:cs="Times New Roman"/>
          <w:sz w:val="20"/>
          <w:szCs w:val="20"/>
        </w:rPr>
        <w:t xml:space="preserve"> </w:t>
      </w:r>
      <w:r w:rsidR="00BD7E8F">
        <w:rPr>
          <w:rFonts w:ascii="Times New Roman" w:hAnsi="Times New Roman" w:cs="Times New Roman"/>
          <w:sz w:val="20"/>
          <w:szCs w:val="20"/>
        </w:rPr>
        <w:t>au profit</w:t>
      </w:r>
      <w:r w:rsidRPr="00AD3F35">
        <w:rPr>
          <w:rFonts w:ascii="Times New Roman" w:hAnsi="Times New Roman" w:cs="Times New Roman"/>
          <w:sz w:val="20"/>
          <w:szCs w:val="20"/>
        </w:rPr>
        <w:t xml:space="preserve"> de :</w:t>
      </w:r>
    </w:p>
    <w:p w:rsidR="001E7AE4" w:rsidRDefault="001E7AE4" w:rsidP="00CE037D">
      <w:pPr>
        <w:rPr>
          <w:rFonts w:ascii="Times New Roman" w:hAnsi="Times New Roman" w:cs="Times New Roman"/>
          <w:sz w:val="20"/>
          <w:szCs w:val="20"/>
        </w:rPr>
      </w:pPr>
    </w:p>
    <w:p w:rsidR="00811FB9" w:rsidRPr="00AD3F35" w:rsidRDefault="00811FB9" w:rsidP="00530BB7">
      <w:pPr>
        <w:jc w:val="center"/>
        <w:rPr>
          <w:rFonts w:ascii="Times New Roman" w:hAnsi="Times New Roman" w:cs="Times New Roman"/>
          <w:b/>
          <w:bCs/>
          <w:sz w:val="20"/>
          <w:szCs w:val="20"/>
        </w:rPr>
      </w:pPr>
      <w:r w:rsidRPr="00AD3F35">
        <w:rPr>
          <w:rFonts w:ascii="Times New Roman" w:hAnsi="Times New Roman" w:cs="Times New Roman"/>
          <w:b/>
          <w:bCs/>
          <w:sz w:val="20"/>
          <w:szCs w:val="20"/>
        </w:rPr>
        <w:t>Madame Nadège BOURAKBA</w:t>
      </w:r>
    </w:p>
    <w:p w:rsidR="00811FB9" w:rsidRPr="00AD3F35" w:rsidRDefault="00766CBC" w:rsidP="00530BB7">
      <w:pPr>
        <w:jc w:val="center"/>
        <w:rPr>
          <w:rFonts w:ascii="Times New Roman" w:hAnsi="Times New Roman" w:cs="Times New Roman"/>
          <w:sz w:val="20"/>
          <w:szCs w:val="20"/>
        </w:rPr>
      </w:pPr>
      <w:r>
        <w:rPr>
          <w:rFonts w:ascii="Times New Roman" w:hAnsi="Times New Roman" w:cs="Times New Roman"/>
          <w:sz w:val="20"/>
          <w:szCs w:val="20"/>
        </w:rPr>
        <w:t xml:space="preserve"> </w:t>
      </w:r>
      <w:r w:rsidR="00B70DB4">
        <w:rPr>
          <w:rFonts w:ascii="Times New Roman" w:hAnsi="Times New Roman" w:cs="Times New Roman"/>
          <w:sz w:val="20"/>
          <w:szCs w:val="20"/>
        </w:rPr>
        <w:t>–</w:t>
      </w:r>
      <w:r>
        <w:rPr>
          <w:rFonts w:ascii="Times New Roman" w:hAnsi="Times New Roman" w:cs="Times New Roman"/>
          <w:sz w:val="20"/>
          <w:szCs w:val="20"/>
        </w:rPr>
        <w:t xml:space="preserve"> </w:t>
      </w:r>
      <w:r w:rsidR="0004793D">
        <w:rPr>
          <w:rFonts w:ascii="Times New Roman" w:hAnsi="Times New Roman" w:cs="Times New Roman"/>
          <w:sz w:val="20"/>
          <w:szCs w:val="20"/>
        </w:rPr>
        <w:t xml:space="preserve">N° de </w:t>
      </w:r>
      <w:r w:rsidR="00B70DB4" w:rsidRPr="00B70DB4">
        <w:rPr>
          <w:rFonts w:ascii="Times New Roman" w:hAnsi="Times New Roman" w:cs="Times New Roman"/>
          <w:bCs/>
          <w:sz w:val="20"/>
          <w:szCs w:val="20"/>
        </w:rPr>
        <w:t xml:space="preserve">RCS </w:t>
      </w:r>
      <w:r w:rsidR="00811FB9" w:rsidRPr="00B70DB4">
        <w:rPr>
          <w:rFonts w:ascii="Times New Roman" w:hAnsi="Times New Roman" w:cs="Times New Roman"/>
          <w:bCs/>
          <w:sz w:val="20"/>
          <w:szCs w:val="20"/>
        </w:rPr>
        <w:t>813 019 254</w:t>
      </w:r>
    </w:p>
    <w:p w:rsidR="00811FB9" w:rsidRDefault="00811FB9" w:rsidP="00530BB7">
      <w:pPr>
        <w:jc w:val="center"/>
        <w:rPr>
          <w:rFonts w:ascii="Times New Roman" w:hAnsi="Times New Roman" w:cs="Times New Roman"/>
          <w:sz w:val="20"/>
          <w:szCs w:val="20"/>
        </w:rPr>
      </w:pPr>
      <w:r w:rsidRPr="00AD3F35">
        <w:rPr>
          <w:rFonts w:ascii="Times New Roman" w:hAnsi="Times New Roman" w:cs="Times New Roman"/>
          <w:sz w:val="20"/>
          <w:szCs w:val="20"/>
        </w:rPr>
        <w:t>5 Rue des Bains</w:t>
      </w:r>
      <w:r w:rsidR="00B135E8">
        <w:rPr>
          <w:rFonts w:ascii="Times New Roman" w:hAnsi="Times New Roman" w:cs="Times New Roman"/>
          <w:sz w:val="20"/>
          <w:szCs w:val="20"/>
        </w:rPr>
        <w:t xml:space="preserve"> -</w:t>
      </w:r>
      <w:r w:rsidRPr="00AD3F35">
        <w:rPr>
          <w:rFonts w:ascii="Times New Roman" w:hAnsi="Times New Roman" w:cs="Times New Roman"/>
          <w:sz w:val="20"/>
          <w:szCs w:val="20"/>
        </w:rPr>
        <w:t xml:space="preserve"> </w:t>
      </w:r>
      <w:r w:rsidR="00766CBC">
        <w:rPr>
          <w:rFonts w:ascii="Times New Roman" w:hAnsi="Times New Roman" w:cs="Times New Roman"/>
          <w:sz w:val="20"/>
          <w:szCs w:val="20"/>
        </w:rPr>
        <w:t xml:space="preserve"> - </w:t>
      </w:r>
      <w:r w:rsidRPr="00AD3F35">
        <w:rPr>
          <w:rFonts w:ascii="Times New Roman" w:hAnsi="Times New Roman" w:cs="Times New Roman"/>
          <w:sz w:val="20"/>
          <w:szCs w:val="20"/>
        </w:rPr>
        <w:t>02400 CHÂTEAU-THIERRY</w:t>
      </w:r>
    </w:p>
    <w:p w:rsidR="000617F8" w:rsidRPr="00AD3F35" w:rsidRDefault="000617F8">
      <w:pPr>
        <w:ind w:left="851"/>
        <w:jc w:val="center"/>
        <w:rPr>
          <w:rFonts w:ascii="Times New Roman" w:hAnsi="Times New Roman" w:cs="Times New Roman"/>
          <w:sz w:val="20"/>
          <w:szCs w:val="20"/>
        </w:rPr>
      </w:pPr>
    </w:p>
    <w:p w:rsidR="00811FB9" w:rsidRDefault="00811FB9" w:rsidP="00CE037D">
      <w:pPr>
        <w:rPr>
          <w:rFonts w:ascii="Times New Roman" w:hAnsi="Times New Roman" w:cs="Times New Roman"/>
          <w:sz w:val="20"/>
          <w:szCs w:val="20"/>
        </w:rPr>
      </w:pPr>
      <w:r w:rsidRPr="00AD3F35">
        <w:rPr>
          <w:rFonts w:ascii="Times New Roman" w:hAnsi="Times New Roman" w:cs="Times New Roman"/>
          <w:sz w:val="20"/>
          <w:szCs w:val="20"/>
        </w:rPr>
        <w:t xml:space="preserve">Ce jugement m’a désigné en qualité de </w:t>
      </w:r>
      <w:r w:rsidR="00530238">
        <w:rPr>
          <w:rFonts w:ascii="Times New Roman" w:hAnsi="Times New Roman" w:cs="Times New Roman"/>
          <w:sz w:val="20"/>
          <w:szCs w:val="20"/>
        </w:rPr>
        <w:t>Mandataire Judiciaire</w:t>
      </w:r>
      <w:r w:rsidRPr="00AD3F35">
        <w:rPr>
          <w:rFonts w:ascii="Times New Roman" w:hAnsi="Times New Roman" w:cs="Times New Roman"/>
          <w:sz w:val="20"/>
          <w:szCs w:val="20"/>
        </w:rPr>
        <w:t xml:space="preserve"> sur Déclaration de cessation des paiements.</w:t>
      </w:r>
    </w:p>
    <w:p w:rsidR="00C00E3E" w:rsidRPr="00AD3F35" w:rsidRDefault="00C00E3E" w:rsidP="00CE037D">
      <w:pPr>
        <w:rPr>
          <w:rFonts w:ascii="Times New Roman" w:hAnsi="Times New Roman" w:cs="Times New Roman"/>
          <w:sz w:val="20"/>
          <w:szCs w:val="20"/>
        </w:rPr>
      </w:pPr>
    </w:p>
    <w:p w:rsidR="00AD3F35" w:rsidRPr="004E473E" w:rsidRDefault="002771D4" w:rsidP="00CE037D">
      <w:pPr>
        <w:rPr>
          <w:rFonts w:ascii="Times New Roman" w:hAnsi="Times New Roman" w:cs="Times New Roman"/>
          <w:b/>
          <w:bCs/>
          <w:sz w:val="20"/>
          <w:szCs w:val="20"/>
        </w:rPr>
      </w:pPr>
      <w:r w:rsidRPr="00AD3F35">
        <w:rPr>
          <w:rFonts w:ascii="Times New Roman" w:hAnsi="Times New Roman" w:cs="Times New Roman"/>
          <w:sz w:val="20"/>
          <w:szCs w:val="20"/>
        </w:rPr>
        <w:t>En application des dispositions des art</w:t>
      </w:r>
      <w:r>
        <w:rPr>
          <w:rFonts w:ascii="Times New Roman" w:hAnsi="Times New Roman" w:cs="Times New Roman"/>
          <w:sz w:val="20"/>
          <w:szCs w:val="20"/>
        </w:rPr>
        <w:t xml:space="preserve">icles L. 622-24 à L. </w:t>
      </w:r>
      <w:r w:rsidRPr="00AD3F35">
        <w:rPr>
          <w:rFonts w:ascii="Times New Roman" w:hAnsi="Times New Roman" w:cs="Times New Roman"/>
          <w:sz w:val="20"/>
          <w:szCs w:val="20"/>
        </w:rPr>
        <w:t>622-33</w:t>
      </w:r>
      <w:r>
        <w:rPr>
          <w:rFonts w:ascii="Times New Roman" w:hAnsi="Times New Roman" w:cs="Times New Roman"/>
          <w:sz w:val="20"/>
          <w:szCs w:val="20"/>
        </w:rPr>
        <w:t>, L. 631-14-I et L. 641-3</w:t>
      </w:r>
      <w:r w:rsidRPr="00AD3F35">
        <w:rPr>
          <w:rFonts w:ascii="Times New Roman" w:hAnsi="Times New Roman" w:cs="Times New Roman"/>
          <w:sz w:val="20"/>
          <w:szCs w:val="20"/>
        </w:rPr>
        <w:t xml:space="preserve"> du Code de commerce, ainsi que des articles R</w:t>
      </w:r>
      <w:r>
        <w:rPr>
          <w:rFonts w:ascii="Times New Roman" w:hAnsi="Times New Roman" w:cs="Times New Roman"/>
          <w:sz w:val="20"/>
          <w:szCs w:val="20"/>
        </w:rPr>
        <w:t xml:space="preserve">. </w:t>
      </w:r>
      <w:r w:rsidRPr="00AD3F35">
        <w:rPr>
          <w:rFonts w:ascii="Times New Roman" w:hAnsi="Times New Roman" w:cs="Times New Roman"/>
          <w:sz w:val="20"/>
          <w:szCs w:val="20"/>
        </w:rPr>
        <w:t>622-21 à R</w:t>
      </w:r>
      <w:r>
        <w:rPr>
          <w:rFonts w:ascii="Times New Roman" w:hAnsi="Times New Roman" w:cs="Times New Roman"/>
          <w:sz w:val="20"/>
          <w:szCs w:val="20"/>
        </w:rPr>
        <w:t xml:space="preserve">. </w:t>
      </w:r>
      <w:r w:rsidRPr="00AD3F35">
        <w:rPr>
          <w:rFonts w:ascii="Times New Roman" w:hAnsi="Times New Roman" w:cs="Times New Roman"/>
          <w:sz w:val="20"/>
          <w:szCs w:val="20"/>
        </w:rPr>
        <w:t>622-25</w:t>
      </w:r>
      <w:r>
        <w:rPr>
          <w:rFonts w:ascii="Times New Roman" w:hAnsi="Times New Roman" w:cs="Times New Roman"/>
          <w:sz w:val="20"/>
          <w:szCs w:val="20"/>
        </w:rPr>
        <w:t xml:space="preserve">, </w:t>
      </w:r>
      <w:r w:rsidRPr="00AD3F35">
        <w:rPr>
          <w:rFonts w:ascii="Times New Roman" w:hAnsi="Times New Roman" w:cs="Times New Roman"/>
          <w:sz w:val="20"/>
          <w:szCs w:val="20"/>
        </w:rPr>
        <w:t>R</w:t>
      </w:r>
      <w:r>
        <w:rPr>
          <w:rFonts w:ascii="Times New Roman" w:hAnsi="Times New Roman" w:cs="Times New Roman"/>
          <w:sz w:val="20"/>
          <w:szCs w:val="20"/>
        </w:rPr>
        <w:t xml:space="preserve">. </w:t>
      </w:r>
      <w:r w:rsidRPr="00AD3F35">
        <w:rPr>
          <w:rFonts w:ascii="Times New Roman" w:hAnsi="Times New Roman" w:cs="Times New Roman"/>
          <w:sz w:val="20"/>
          <w:szCs w:val="20"/>
        </w:rPr>
        <w:t>631-27</w:t>
      </w:r>
      <w:r>
        <w:rPr>
          <w:rFonts w:ascii="Times New Roman" w:hAnsi="Times New Roman" w:cs="Times New Roman"/>
          <w:sz w:val="20"/>
          <w:szCs w:val="20"/>
        </w:rPr>
        <w:t xml:space="preserve"> et R. 641-23</w:t>
      </w:r>
      <w:r w:rsidR="00811FB9" w:rsidRPr="00AD3F35">
        <w:rPr>
          <w:rFonts w:ascii="Times New Roman" w:hAnsi="Times New Roman" w:cs="Times New Roman"/>
          <w:sz w:val="20"/>
          <w:szCs w:val="20"/>
        </w:rPr>
        <w:t xml:space="preserve"> du Code de Commerce,</w:t>
      </w:r>
      <w:r w:rsidR="00811FB9">
        <w:rPr>
          <w:rFonts w:ascii="Times New Roman" w:hAnsi="Times New Roman" w:cs="Times New Roman"/>
        </w:rPr>
        <w:t xml:space="preserve"> </w:t>
      </w:r>
      <w:r w:rsidR="00AD3F35" w:rsidRPr="004E473E">
        <w:rPr>
          <w:rFonts w:ascii="Times New Roman" w:hAnsi="Times New Roman" w:cs="Times New Roman"/>
          <w:sz w:val="20"/>
          <w:szCs w:val="20"/>
        </w:rPr>
        <w:t xml:space="preserve"> je vous invite à m’adresser votre DECLARATION DE CREANCE, dans un délai de </w:t>
      </w:r>
      <w:r w:rsidR="00AD3F35" w:rsidRPr="004E473E">
        <w:rPr>
          <w:rFonts w:ascii="Times New Roman" w:hAnsi="Times New Roman" w:cs="Times New Roman"/>
          <w:b/>
          <w:bCs/>
          <w:sz w:val="20"/>
          <w:szCs w:val="20"/>
        </w:rPr>
        <w:t>DEUX MOIS</w:t>
      </w:r>
      <w:r w:rsidR="00AD3F35" w:rsidRPr="004E473E">
        <w:rPr>
          <w:rFonts w:ascii="Times New Roman" w:hAnsi="Times New Roman" w:cs="Times New Roman"/>
          <w:sz w:val="20"/>
          <w:szCs w:val="20"/>
        </w:rPr>
        <w:t xml:space="preserve"> à compter de l’insertion du jugement précité au Bulletin Officiel des Annonces C</w:t>
      </w:r>
      <w:r w:rsidR="00AD3F35">
        <w:rPr>
          <w:rFonts w:ascii="Times New Roman" w:hAnsi="Times New Roman" w:cs="Times New Roman"/>
          <w:sz w:val="20"/>
          <w:szCs w:val="20"/>
        </w:rPr>
        <w:t>iviles et Commerciales délai augmenté de deux mois pour les créanciers hors France métropolitaine.</w:t>
      </w:r>
    </w:p>
    <w:p w:rsidR="00AD3F35" w:rsidRDefault="00AD3F35" w:rsidP="00AD3F35">
      <w:pPr>
        <w:ind w:left="851"/>
        <w:rPr>
          <w:rFonts w:ascii="Times New Roman" w:hAnsi="Times New Roman" w:cs="Times New Roman"/>
          <w:b/>
          <w:bCs/>
          <w:sz w:val="20"/>
          <w:szCs w:val="20"/>
        </w:rPr>
      </w:pPr>
    </w:p>
    <w:p w:rsidR="00AD3F35" w:rsidRDefault="00AD3F35" w:rsidP="00CE037D">
      <w:pPr>
        <w:rPr>
          <w:rFonts w:ascii="Times New Roman" w:hAnsi="Times New Roman" w:cs="Times New Roman"/>
          <w:bCs/>
          <w:sz w:val="20"/>
          <w:szCs w:val="20"/>
        </w:rPr>
      </w:pPr>
      <w:r>
        <w:rPr>
          <w:rFonts w:ascii="Times New Roman" w:hAnsi="Times New Roman" w:cs="Times New Roman"/>
          <w:bCs/>
          <w:sz w:val="20"/>
          <w:szCs w:val="20"/>
        </w:rPr>
        <w:t>Je vous rappelle que vous devez accompagner votre déclaration de tous justificatifs, éléments, documents ou titres officiels, préciser les dates et périodes, la nature de la créance, indiquer les montants échus et à échoir, au jour du jugement d’ouverture ; enfin, le récapitulatif devra être totalisé</w:t>
      </w:r>
    </w:p>
    <w:p w:rsidR="00FD1EB6" w:rsidRDefault="00FD1EB6" w:rsidP="00CE037D">
      <w:pPr>
        <w:rPr>
          <w:rFonts w:ascii="Times New Roman" w:hAnsi="Times New Roman" w:cs="Times New Roman"/>
          <w:bCs/>
          <w:sz w:val="20"/>
          <w:szCs w:val="20"/>
        </w:rPr>
      </w:pPr>
    </w:p>
    <w:p w:rsidR="00FD1EB6" w:rsidRPr="00501D2A" w:rsidRDefault="00FD1EB6" w:rsidP="00FD1EB6">
      <w:pPr>
        <w:rPr>
          <w:rFonts w:ascii="Times New Roman" w:hAnsi="Times New Roman" w:cs="Times New Roman"/>
          <w:sz w:val="20"/>
          <w:szCs w:val="20"/>
        </w:rPr>
      </w:pPr>
      <w:r w:rsidRPr="00501D2A">
        <w:rPr>
          <w:rFonts w:ascii="Times New Roman" w:hAnsi="Times New Roman" w:cs="Times New Roman"/>
          <w:sz w:val="20"/>
          <w:szCs w:val="20"/>
        </w:rPr>
        <w:t>Afin de vous aider dans l'établissement de votre déclaration, vous trouverez un formulaire CERFA n°10021*01 de déclaration de créance relatif à votre affaire sur le site </w:t>
      </w:r>
      <w:hyperlink r:id="rId9" w:history="1">
        <w:r w:rsidRPr="00501D2A">
          <w:rPr>
            <w:rStyle w:val="Lienhypertexte"/>
            <w:rFonts w:ascii="Times New Roman" w:eastAsiaTheme="majorEastAsia" w:hAnsi="Times New Roman"/>
            <w:sz w:val="20"/>
            <w:szCs w:val="20"/>
          </w:rPr>
          <w:t>https://www.rm-mandataires.fr/accueil</w:t>
        </w:r>
      </w:hyperlink>
    </w:p>
    <w:p w:rsidR="00AD3F35" w:rsidRPr="00C65D52" w:rsidRDefault="00AD3F35" w:rsidP="005B4F1C">
      <w:pPr>
        <w:rPr>
          <w:rFonts w:ascii="Times New Roman" w:hAnsi="Times New Roman" w:cs="Times New Roman"/>
          <w:bCs/>
          <w:sz w:val="20"/>
          <w:szCs w:val="20"/>
        </w:rPr>
      </w:pPr>
    </w:p>
    <w:p w:rsidR="00AD3F35" w:rsidRDefault="00AD3F35" w:rsidP="00CE037D">
      <w:pPr>
        <w:rPr>
          <w:rFonts w:ascii="Times New Roman" w:hAnsi="Times New Roman" w:cs="Times New Roman"/>
          <w:sz w:val="20"/>
          <w:szCs w:val="20"/>
        </w:rPr>
      </w:pPr>
      <w:r w:rsidRPr="004E473E">
        <w:rPr>
          <w:rFonts w:ascii="Times New Roman" w:hAnsi="Times New Roman" w:cs="Times New Roman"/>
          <w:sz w:val="20"/>
          <w:szCs w:val="20"/>
        </w:rPr>
        <w:t>Vous trouverez ci-jointes les dispositions légales et réglementaires à respecter.</w:t>
      </w:r>
    </w:p>
    <w:p w:rsidR="00AD3F35" w:rsidRPr="004E473E" w:rsidRDefault="00AD3F35" w:rsidP="00FD1EB6">
      <w:pPr>
        <w:rPr>
          <w:rFonts w:ascii="Times New Roman" w:hAnsi="Times New Roman" w:cs="Times New Roman"/>
          <w:sz w:val="20"/>
          <w:szCs w:val="20"/>
        </w:rPr>
      </w:pPr>
    </w:p>
    <w:p w:rsidR="00AD3F35" w:rsidRDefault="00AD3F35" w:rsidP="00CE037D">
      <w:pPr>
        <w:rPr>
          <w:rFonts w:ascii="Times New Roman" w:hAnsi="Times New Roman" w:cs="Times New Roman"/>
          <w:sz w:val="20"/>
          <w:szCs w:val="20"/>
        </w:rPr>
      </w:pPr>
      <w:r w:rsidRPr="004E473E">
        <w:rPr>
          <w:rFonts w:ascii="Times New Roman" w:hAnsi="Times New Roman" w:cs="Times New Roman"/>
          <w:sz w:val="20"/>
          <w:szCs w:val="20"/>
        </w:rPr>
        <w:t>Veuillez agréer, Madame, Monsieur, l’expression de mes sentiments distingués.</w:t>
      </w:r>
    </w:p>
    <w:p w:rsidR="008D19C0" w:rsidRDefault="008D19C0" w:rsidP="00CE037D">
      <w:pPr>
        <w:rPr>
          <w:rFonts w:ascii="Times New Roman" w:hAnsi="Times New Roman" w:cs="Times New Roman"/>
          <w:sz w:val="20"/>
          <w:szCs w:val="20"/>
        </w:rPr>
      </w:pPr>
    </w:p>
    <w:p w:rsidR="00BC01F4" w:rsidRDefault="00BC01F4" w:rsidP="00BC01F4">
      <w:pPr>
        <w:ind w:left="5664" w:firstLine="708"/>
        <w:rPr>
          <w:rFonts w:ascii="Times New Roman" w:hAnsi="Times New Roman" w:cs="Times New Roman"/>
          <w:sz w:val="20"/>
          <w:szCs w:val="20"/>
        </w:rPr>
      </w:pPr>
      <w:r w:rsidRPr="00BC01F4">
        <w:rPr>
          <w:rFonts w:ascii="Times New Roman" w:hAnsi="Times New Roman" w:cs="Times New Roman"/>
          <w:sz w:val="20"/>
          <w:szCs w:val="20"/>
        </w:rPr>
        <w:t>Maître Dorian MOUTET</w:t>
      </w:r>
    </w:p>
    <w:p w:rsidR="00C66D72" w:rsidRDefault="00C66D72" w:rsidP="00AD3F35">
      <w:pPr>
        <w:ind w:left="851"/>
        <w:rPr>
          <w:rFonts w:ascii="Times New Roman" w:hAnsi="Times New Roman" w:cs="Times New Roman"/>
          <w:sz w:val="20"/>
          <w:szCs w:val="20"/>
        </w:rPr>
      </w:pPr>
    </w:p>
    <w:p w:rsidR="00D37AD7" w:rsidRDefault="00D37AD7" w:rsidP="00AD3F35">
      <w:pPr>
        <w:ind w:left="851"/>
        <w:rPr>
          <w:rFonts w:ascii="Times New Roman" w:hAnsi="Times New Roman" w:cs="Times New Roman"/>
          <w:sz w:val="20"/>
          <w:szCs w:val="20"/>
        </w:rPr>
      </w:pPr>
    </w:p>
    <w:p w:rsidR="00DB7139" w:rsidRPr="00BC01F4" w:rsidRDefault="00DB7139" w:rsidP="00CE037D">
      <w:pPr>
        <w:pStyle w:val="Corpsdetexte"/>
        <w:rPr>
          <w:rFonts w:ascii="Times New Roman" w:hAnsi="Times New Roman" w:cs="Times New Roman"/>
          <w:b/>
          <w:bCs/>
          <w:sz w:val="14"/>
          <w:szCs w:val="14"/>
        </w:rPr>
      </w:pPr>
      <w:r w:rsidRPr="00BC01F4">
        <w:rPr>
          <w:rFonts w:ascii="Times New Roman" w:hAnsi="Times New Roman" w:cs="Times New Roman"/>
          <w:b/>
          <w:bCs/>
          <w:sz w:val="14"/>
          <w:szCs w:val="14"/>
          <w:u w:val="single"/>
        </w:rPr>
        <w:t>NOTE</w:t>
      </w:r>
      <w:r w:rsidRPr="00BC01F4">
        <w:rPr>
          <w:rFonts w:ascii="Times New Roman" w:hAnsi="Times New Roman" w:cs="Times New Roman"/>
          <w:b/>
          <w:bCs/>
          <w:sz w:val="14"/>
          <w:szCs w:val="14"/>
        </w:rPr>
        <w:t xml:space="preserve"> : Dans le cadre d’une créance </w:t>
      </w:r>
      <w:r w:rsidR="001E7AE4" w:rsidRPr="00BC01F4">
        <w:rPr>
          <w:rFonts w:ascii="Times New Roman" w:hAnsi="Times New Roman" w:cs="Times New Roman"/>
          <w:b/>
          <w:bCs/>
          <w:sz w:val="14"/>
          <w:szCs w:val="14"/>
        </w:rPr>
        <w:t>irrécouvrable</w:t>
      </w:r>
      <w:r w:rsidRPr="00BC01F4">
        <w:rPr>
          <w:rFonts w:ascii="Times New Roman" w:hAnsi="Times New Roman" w:cs="Times New Roman"/>
          <w:b/>
          <w:bCs/>
          <w:sz w:val="14"/>
          <w:szCs w:val="14"/>
        </w:rPr>
        <w:t>, il n’est p</w:t>
      </w:r>
      <w:r w:rsidR="001E7AE4" w:rsidRPr="00BC01F4">
        <w:rPr>
          <w:rFonts w:ascii="Times New Roman" w:hAnsi="Times New Roman" w:cs="Times New Roman"/>
          <w:b/>
          <w:bCs/>
          <w:sz w:val="14"/>
          <w:szCs w:val="14"/>
        </w:rPr>
        <w:t>lus délivré de certificat d’</w:t>
      </w:r>
      <w:proofErr w:type="spellStart"/>
      <w:r w:rsidR="001E7AE4" w:rsidRPr="00BC01F4">
        <w:rPr>
          <w:rFonts w:ascii="Times New Roman" w:hAnsi="Times New Roman" w:cs="Times New Roman"/>
          <w:b/>
          <w:bCs/>
          <w:sz w:val="14"/>
          <w:szCs w:val="14"/>
        </w:rPr>
        <w:t>irré</w:t>
      </w:r>
      <w:r w:rsidRPr="00BC01F4">
        <w:rPr>
          <w:rFonts w:ascii="Times New Roman" w:hAnsi="Times New Roman" w:cs="Times New Roman"/>
          <w:b/>
          <w:bCs/>
          <w:sz w:val="14"/>
          <w:szCs w:val="14"/>
        </w:rPr>
        <w:t>couvrabilité</w:t>
      </w:r>
      <w:proofErr w:type="spellEnd"/>
      <w:r w:rsidRPr="00BC01F4">
        <w:rPr>
          <w:rFonts w:ascii="Times New Roman" w:hAnsi="Times New Roman" w:cs="Times New Roman"/>
          <w:b/>
          <w:bCs/>
          <w:sz w:val="14"/>
          <w:szCs w:val="14"/>
        </w:rPr>
        <w:t>. L’administration fiscale ne requiert plus la production d’un certificat pour justifier de la passation de votre créance en perte et de la récupération de la TVA y afférente. Art 272-1 du CGI.</w:t>
      </w:r>
    </w:p>
    <w:p w:rsidR="000617F8" w:rsidRDefault="00530238" w:rsidP="00BC01F4">
      <w:pPr>
        <w:pStyle w:val="Corpsdetexte"/>
        <w:rPr>
          <w:rFonts w:ascii="Times New Roman" w:hAnsi="Times New Roman" w:cs="Times New Roman"/>
          <w:b/>
          <w:bCs/>
          <w:sz w:val="14"/>
          <w:szCs w:val="14"/>
        </w:rPr>
      </w:pPr>
      <w:r w:rsidRPr="00BC01F4">
        <w:rPr>
          <w:rFonts w:ascii="Times New Roman" w:hAnsi="Times New Roman" w:cs="Times New Roman"/>
          <w:b/>
          <w:bCs/>
          <w:sz w:val="14"/>
          <w:szCs w:val="14"/>
          <w:u w:val="single"/>
        </w:rPr>
        <w:t>NOTE</w:t>
      </w:r>
      <w:r w:rsidRPr="00BC01F4">
        <w:rPr>
          <w:rFonts w:ascii="Times New Roman" w:hAnsi="Times New Roman" w:cs="Times New Roman"/>
          <w:b/>
          <w:bCs/>
          <w:sz w:val="14"/>
          <w:szCs w:val="14"/>
        </w:rPr>
        <w:t> : Pour tout règlement éventuel de votre créance, il convient de joindre obligatoirement votre RIB à votre déclaration de créances</w:t>
      </w:r>
    </w:p>
    <w:p w:rsidR="00B71AC4" w:rsidRDefault="00B71AC4" w:rsidP="00BC01F4">
      <w:pPr>
        <w:pStyle w:val="Corpsdetexte"/>
        <w:rPr>
          <w:rFonts w:ascii="Times New Roman" w:hAnsi="Times New Roman" w:cs="Times New Roman"/>
          <w:b/>
          <w:bCs/>
          <w:sz w:val="14"/>
          <w:szCs w:val="14"/>
        </w:rPr>
      </w:pPr>
    </w:p>
    <w:p w:rsidR="00B71AC4" w:rsidRDefault="00B71AC4" w:rsidP="00612885">
      <w:pPr>
        <w:autoSpaceDE w:val="0"/>
        <w:autoSpaceDN w:val="0"/>
        <w:adjustRightInd w:val="0"/>
        <w:jc w:val="left"/>
        <w:rPr>
          <w:rFonts w:ascii="Arial Narrow" w:hAnsi="Arial Narrow"/>
          <w:bCs/>
          <w:sz w:val="12"/>
          <w:szCs w:val="12"/>
        </w:rPr>
      </w:pPr>
      <w:r>
        <w:rPr>
          <w:rFonts w:ascii="Arial Narrow" w:hAnsi="Arial Narrow"/>
          <w:bCs/>
          <w:sz w:val="12"/>
          <w:szCs w:val="12"/>
        </w:rPr>
        <w:t xml:space="preserve">         </w:t>
      </w:r>
      <w:r w:rsidRPr="008937A9">
        <w:rPr>
          <w:rFonts w:ascii="Arial Narrow" w:hAnsi="Arial Narrow"/>
          <w:bCs/>
          <w:sz w:val="12"/>
          <w:szCs w:val="12"/>
        </w:rPr>
        <w:t xml:space="preserve">     </w:t>
      </w:r>
      <w:r w:rsidR="00612885">
        <w:rPr>
          <w:rFonts w:ascii="Arial Narrow" w:hAnsi="Arial Narrow"/>
          <w:bCs/>
          <w:sz w:val="12"/>
          <w:szCs w:val="12"/>
        </w:rPr>
        <w:t xml:space="preserve">                            </w:t>
      </w:r>
    </w:p>
    <w:p w:rsidR="00293958" w:rsidRDefault="00293958" w:rsidP="00612885">
      <w:pPr>
        <w:autoSpaceDE w:val="0"/>
        <w:autoSpaceDN w:val="0"/>
        <w:adjustRightInd w:val="0"/>
        <w:jc w:val="left"/>
        <w:rPr>
          <w:rFonts w:ascii="Arial Narrow" w:hAnsi="Arial Narrow"/>
          <w:bCs/>
          <w:sz w:val="12"/>
          <w:szCs w:val="12"/>
        </w:rPr>
      </w:pPr>
    </w:p>
    <w:p w:rsidR="00E04223" w:rsidRDefault="00E04223" w:rsidP="00612885">
      <w:pPr>
        <w:autoSpaceDE w:val="0"/>
        <w:autoSpaceDN w:val="0"/>
        <w:adjustRightInd w:val="0"/>
        <w:jc w:val="left"/>
        <w:rPr>
          <w:rFonts w:ascii="Arial Narrow" w:hAnsi="Arial Narrow"/>
          <w:bCs/>
          <w:sz w:val="12"/>
          <w:szCs w:val="12"/>
        </w:rPr>
      </w:pPr>
    </w:p>
    <w:p w:rsidR="00E04223" w:rsidRDefault="00E04223" w:rsidP="00612885">
      <w:pPr>
        <w:autoSpaceDE w:val="0"/>
        <w:autoSpaceDN w:val="0"/>
        <w:adjustRightInd w:val="0"/>
        <w:jc w:val="left"/>
        <w:rPr>
          <w:rFonts w:ascii="Arial Narrow" w:hAnsi="Arial Narrow"/>
          <w:bCs/>
          <w:sz w:val="12"/>
          <w:szCs w:val="12"/>
        </w:rPr>
      </w:pPr>
    </w:p>
    <w:p w:rsidR="00E04223" w:rsidRDefault="00E04223" w:rsidP="00612885">
      <w:pPr>
        <w:autoSpaceDE w:val="0"/>
        <w:autoSpaceDN w:val="0"/>
        <w:adjustRightInd w:val="0"/>
        <w:jc w:val="left"/>
        <w:rPr>
          <w:rFonts w:ascii="Arial Narrow" w:hAnsi="Arial Narrow"/>
          <w:bCs/>
          <w:sz w:val="12"/>
          <w:szCs w:val="12"/>
        </w:rPr>
      </w:pPr>
    </w:p>
    <w:p w:rsidR="002D3DF7" w:rsidRDefault="002D3DF7" w:rsidP="00612885">
      <w:pPr>
        <w:autoSpaceDE w:val="0"/>
        <w:autoSpaceDN w:val="0"/>
        <w:adjustRightInd w:val="0"/>
        <w:jc w:val="left"/>
        <w:rPr>
          <w:rFonts w:ascii="Arial Narrow" w:hAnsi="Arial Narrow"/>
          <w:bCs/>
          <w:sz w:val="12"/>
          <w:szCs w:val="12"/>
        </w:rPr>
      </w:pPr>
    </w:p>
    <w:p w:rsidR="00293958" w:rsidRPr="002D3DF7" w:rsidRDefault="00293958" w:rsidP="00293958">
      <w:pPr>
        <w:autoSpaceDE w:val="0"/>
        <w:autoSpaceDN w:val="0"/>
        <w:adjustRightInd w:val="0"/>
        <w:rPr>
          <w:rFonts w:ascii="Arial Narrow" w:hAnsi="Arial Narrow"/>
          <w:bCs/>
          <w:sz w:val="12"/>
          <w:szCs w:val="12"/>
        </w:rPr>
      </w:pPr>
      <w:r w:rsidRPr="002D3DF7">
        <w:rPr>
          <w:rFonts w:ascii="Arial Narrow" w:hAnsi="Arial Narrow"/>
          <w:bCs/>
          <w:sz w:val="12"/>
          <w:szCs w:val="12"/>
        </w:rPr>
        <w:t xml:space="preserve">                                                    </w:t>
      </w:r>
    </w:p>
    <w:p w:rsidR="00E04223" w:rsidRPr="002D3DF7" w:rsidRDefault="00E04223" w:rsidP="00293958">
      <w:pPr>
        <w:pBdr>
          <w:top w:val="single" w:sz="4" w:space="1" w:color="auto"/>
          <w:bottom w:val="single" w:sz="4" w:space="1" w:color="auto"/>
        </w:pBdr>
        <w:autoSpaceDE w:val="0"/>
        <w:autoSpaceDN w:val="0"/>
        <w:adjustRightInd w:val="0"/>
        <w:jc w:val="center"/>
        <w:rPr>
          <w:rFonts w:ascii="Arial Narrow" w:hAnsi="Arial Narrow"/>
          <w:bCs/>
          <w:sz w:val="12"/>
          <w:szCs w:val="12"/>
        </w:rPr>
        <w:sectPr w:rsidR="00E04223" w:rsidRPr="002D3DF7" w:rsidSect="00293958">
          <w:headerReference w:type="default" r:id="rId10"/>
          <w:footerReference w:type="default" r:id="rId11"/>
          <w:headerReference w:type="first" r:id="rId12"/>
          <w:footerReference w:type="first" r:id="rId13"/>
          <w:pgSz w:w="11906" w:h="16838" w:code="9"/>
          <w:pgMar w:top="426" w:right="1134" w:bottom="851" w:left="1134" w:header="284" w:footer="340" w:gutter="0"/>
          <w:cols w:space="720"/>
          <w:titlePg/>
          <w:docGrid w:linePitch="326"/>
        </w:sectPr>
      </w:pPr>
    </w:p>
    <w:p w:rsidR="00293958" w:rsidRPr="002D3DF7" w:rsidRDefault="00293958" w:rsidP="00E04223">
      <w:pPr>
        <w:pBdr>
          <w:top w:val="single" w:sz="4" w:space="1" w:color="auto"/>
          <w:bottom w:val="single" w:sz="4" w:space="1" w:color="auto"/>
        </w:pBdr>
        <w:autoSpaceDE w:val="0"/>
        <w:autoSpaceDN w:val="0"/>
        <w:adjustRightInd w:val="0"/>
        <w:ind w:left="426"/>
        <w:jc w:val="center"/>
        <w:rPr>
          <w:rFonts w:ascii="Arial Narrow" w:hAnsi="Arial Narrow"/>
          <w:bCs/>
          <w:sz w:val="10"/>
          <w:szCs w:val="10"/>
        </w:rPr>
      </w:pPr>
      <w:r w:rsidRPr="002D3DF7">
        <w:rPr>
          <w:rFonts w:ascii="Arial Narrow" w:hAnsi="Arial Narrow"/>
          <w:bCs/>
          <w:sz w:val="10"/>
          <w:szCs w:val="10"/>
        </w:rPr>
        <w:lastRenderedPageBreak/>
        <w:t>DECLARATION DE CREANCE &amp; RELEVE DE FORCLUSION</w:t>
      </w:r>
    </w:p>
    <w:p w:rsidR="002D3DF7" w:rsidRPr="002D3DF7" w:rsidRDefault="002D3DF7" w:rsidP="00E04223">
      <w:pPr>
        <w:autoSpaceDE w:val="0"/>
        <w:autoSpaceDN w:val="0"/>
        <w:adjustRightInd w:val="0"/>
        <w:ind w:left="426"/>
        <w:rPr>
          <w:rFonts w:ascii="Arial Narrow" w:hAnsi="Arial Narrow"/>
          <w:bCs/>
          <w:sz w:val="10"/>
          <w:szCs w:val="10"/>
          <w:u w:val="single"/>
        </w:rPr>
      </w:pP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u w:val="single"/>
        </w:rPr>
        <w:t>Article L.622-24 </w:t>
      </w:r>
      <w:r w:rsidRPr="002D3DF7">
        <w:rPr>
          <w:rFonts w:ascii="Arial Narrow" w:hAnsi="Arial Narrow"/>
          <w:bCs/>
          <w:sz w:val="10"/>
          <w:szCs w:val="10"/>
        </w:rPr>
        <w:t>: « A partir de la publication du jugement, tous les créanciers dont la créance est née antérieurement au jugement d'ouverture, à l'exception des salariés, adressent la déclaration de leurs créances au mandataire judiciaire dans des délais fixés par décret en Conseil d'Etat. Lorsque le créancier a été relevé de forclusion conformément à l'article L. 622-26, les délais ne courent qu'à compter de la notification de cette décision ; ils sont alors réduits de moitié. Les créanciers titulaires d'une sûreté publiée ou liés au débiteur par un contrat publié sont avertis personnellement ou, s'il y a lieu, à domicile élu. Le délai de déclaration court à l'égard de ceux-ci à compter de la notification de cet avertissement.</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La déclaration des créances peut être faite par le créancier ou par tout préposé ou mandataire de son choix. Le créancier peut ratifier la déclaration faite en son nom jusqu'à ce que le juge statue sur l'admission de la créance.</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Lorsque le débiteur a porté une créance à la connaissance du mandataire judiciaire, il est présumé avoir agi pour le compte du créancier tant que celui-ci n'a pas adressé la déclaration de créance prévue au premier alinéa.</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La déclaration des créances doit être faite alors même qu'elles ne sont pas établies par un titre. Celles dont le montant n'est pas encore définitivement fixé sont déclarées sur la base d'une évaluation. Les créances du Trésor public et des organismes de prévoyance et de sécurité sociale ainsi que les créances recouvrées par les organismes visés à l'article L. 5427-1 à L. 5427-6 du code du travail qui n'ont pas fait l'objet d'un titre exécutoire au moment de leur déclaration sont admises à titre provisionnel pour leur montant déclaré. En tout état de cause, les déclarations du Trésor et de la sécurité sociale sont toujours faites sous réserve des impôts et autres créances non établis à la date de la déclaration. Sous réserve des procédures judiciaires ou administratives en cours, leur établissement définitif doit, à peine de forclusion, être effectué dans le délai prévu à l'article L. 624-1. Si la détermination de l'assiette et du calcul de l'impôt est en cours, l'établissement définitif des créances admises à titre provisionnel doit être effectué par l'émission du titre exécutoire dans un délai de douze mois à compter de la publication du jugement d'ouverture. Toutefois, si une procédure de contrôle ou de rectification de l'impôt a été engagée, l'établissement définitif des créances qui en font l'objet doit être réalisé avant le dépôt au greffe du compte rendu de fin de mission par le mandataire judiciaire. Le délai de cet établissement définitif est suspendu par la saisine de l'une des commissions mentionnées à l'article L. 59 du livre des procédures fiscales jusqu'à la date de réception par le contribuable ou son représentant de l'avis de cette commission ou celle d'un désistement.</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Les institutions mentionnées à l'article L. 3253-14 du code du travail sont soumises aux dispositions du présent article pour les sommes qu'elles ont avancées et qui leur sont remboursées dans les conditions prévues pour les créances nées antérieurement au jugement ouvrant la procédure.</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Les créances nées régulièrement après le jugement d'ouverture, autres que celles mentionnées au I de l'article L. 622-17 sont soumises aux dispositions du présent article. Les délais courent à compter de la date d'exigibilité de la créance. Toutefois, les créanciers dont les créances résultent d'un contrat à exécution successive déclarent l'intégralité des sommes qui leur sont dues dans des conditions prévues par décret en Conseil d'Etat.</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Le délai de déclaration, par une partie civile, des créances nées d'une infraction pénale court dans les conditions prévues au premier alinéa ou à compter de la date de la décision définitive qui en fixe le montant, lorsque cette décision intervient après la publication du jugement d'ouverture.</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Les créances alimentaires ne sont pas soumises aux dispositions du présent article. »</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u w:val="single"/>
        </w:rPr>
        <w:t>Article L.622-25 </w:t>
      </w:r>
      <w:r w:rsidRPr="002D3DF7">
        <w:rPr>
          <w:rFonts w:ascii="Arial Narrow" w:hAnsi="Arial Narrow"/>
          <w:bCs/>
          <w:sz w:val="10"/>
          <w:szCs w:val="10"/>
        </w:rPr>
        <w:t>: « La déclaration porte le montant de la créance due au jour du jugement d'ouverture avec indication des sommes à échoir et de la date de leurs échéances. Elle précise la nature et l'assiette de la sûreté dont la créance est éventuellement assortie et, le cas échéant, si la sûreté réelle conventionnelle a été constituée sur les biens du débiteur en garantie de la dette d'un tiers.</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Lorsqu'il s'agit de créances en monnaie étrangère, la conversion en euros a lieu selon le cours du change à la date du jugement d'ouverture.</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Sauf si elle résulte d'un titre exécutoire, la créance déclarée est certifiée sincère par le créancier. Le visa du commissaire aux comptes ou, à défaut, de l'expert-comptable sur la déclaration de créance peut être demandé par le juge-commissaire. Le refus de visa est motivé ».</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u w:val="single"/>
        </w:rPr>
        <w:t>Article L.625-1 :</w:t>
      </w:r>
      <w:r w:rsidRPr="002D3DF7">
        <w:rPr>
          <w:rFonts w:ascii="Arial Narrow" w:hAnsi="Arial Narrow"/>
          <w:bCs/>
          <w:sz w:val="10"/>
          <w:szCs w:val="10"/>
        </w:rPr>
        <w:t>« La déclaration de créance interrompt la prescription jusqu'à la clôture de la procédure ; elle dispense de toute mise en demeure et vaut acte de poursuites ».</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u w:val="single"/>
        </w:rPr>
        <w:t>Article L.622-26 :</w:t>
      </w:r>
      <w:r w:rsidRPr="002D3DF7">
        <w:rPr>
          <w:rFonts w:ascii="Arial Narrow" w:hAnsi="Arial Narrow"/>
          <w:bCs/>
          <w:sz w:val="10"/>
          <w:szCs w:val="10"/>
        </w:rPr>
        <w:t>« A défaut de déclaration dans les délais prévus à l'article L. 622-24, les créanciers ne sont pas admis dans les répartitions et les dividendes à moins que le juge-commissaire ne les relève de leur forclusion s'ils établissent que leur défaillance n'est pas due à leur fait ou qu'elle est due à une omission du débiteur lors de l'établissement de la liste prévue au deuxième alinéa de l'article L. 622-6. Ils ne peuvent alors concourir que pour les distributions postérieures à leur demande.</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Les créances et les sûretés non déclarées régulièrement dans ces délais sont inopposables au débiteur pendant l'exécution du plan et après cette exécution lorsque les engagements énoncés dans le plan ou décidés par le tribunal ont été tenus. Dans les mêmes conditions, elles sont également inopposables aux personnes physiques coobligées ou ayant consenti une sûreté personnelle ou ayant affecté ou cédé un bien en garantie.</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L'action en relevé de forclusion ne peut être exercée que dans le délai de six mois. Ce délai court à compter de la publication du jugement d'ouverture ou, pour les institutions mentionnées à l'article L. 3253-14 du code du travail, de l'expiration du délai pendant lequel les créances résultant du contrat de travail sont garanties par ces institutions. Pour les titulaires d'une sûreté publiée ou liés au débiteur par un contrat publié, il court à compter de la réception de l'avis qui leur est donné. Par exception, si le créancier justifie avoir été placé dans l'impossibilité de connaître l'obligation du débiteur avant l'expiration du délai de six mois, le délai court à compter de la date à laquelle il est établi qu'il ne pouvait ignorer l'existence de sa créance. »</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u w:val="single"/>
        </w:rPr>
        <w:t>Article R.622-22 :</w:t>
      </w:r>
      <w:r w:rsidRPr="002D3DF7">
        <w:rPr>
          <w:rFonts w:ascii="Arial Narrow" w:hAnsi="Arial Narrow"/>
          <w:bCs/>
          <w:sz w:val="10"/>
          <w:szCs w:val="10"/>
        </w:rPr>
        <w:t>« En application du sixième alinéa de l'article L. 622-24, les créanciers dont les créances, nées régulièrement après le jugement d'ouverture autres que celles mentionnées au I de l'article L. 622-17, résultent d'un contrat à exécution successive déclarent leurs créances, pour la totalité des sommes échues et à échoir, sur la base d'une évaluation, dans un délai de deux mois à compter de la publication du jugement d'ouverture au Bulletin officiel des annonces civiles et commerciales.</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Lorsque le contrat est conclu postérieurement à ce jugement, les créanciers déclarent leurs créances pour la totalité des sommes échues et à échoir, sur la base d'une évaluation, dans un délai de deux mois à compter de la première échéance impayée, qu'elle ait été ou non régularisée. »</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u w:val="single"/>
        </w:rPr>
        <w:t>Article R.622-23 </w:t>
      </w:r>
      <w:r w:rsidRPr="002D3DF7">
        <w:rPr>
          <w:rFonts w:ascii="Arial Narrow" w:hAnsi="Arial Narrow"/>
          <w:bCs/>
          <w:sz w:val="10"/>
          <w:szCs w:val="10"/>
        </w:rPr>
        <w:t>: « Outre les indications prévues à l'article L. 622-25, la déclaration de créance contient :</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1° Les éléments de nature à prouver l'existence et le montant de la créance si elle ne résulte pas d'un titre ; à défaut, une évaluation de la créance si son montant n'a pas encore été fixé ;</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lastRenderedPageBreak/>
        <w:t>2° Les modalités de calcul des intérêts dont le cours n'est pas arrêté, cette indication valant déclaration pour le montant ultérieurement arrêté ;</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3° L'indication de la juridiction saisie si la créance fait l'objet d'un litige.</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A cette déclaration sont joints sous bordereau les documents justificatifs ; ceux-ci peuvent être produits en copie. A tout moment, le mandataire judiciaire peut demander la production de documents qui n'auraient pas été joints. »</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u w:val="single"/>
        </w:rPr>
        <w:t>Article R.622-24 </w:t>
      </w:r>
      <w:r w:rsidRPr="002D3DF7">
        <w:rPr>
          <w:rFonts w:ascii="Arial Narrow" w:hAnsi="Arial Narrow"/>
          <w:bCs/>
          <w:sz w:val="10"/>
          <w:szCs w:val="10"/>
        </w:rPr>
        <w:t>: « Le délai de déclaration fixé en application de l'article L. 622-26 est de deux mois à compter de la publication du jugement d'ouverture au Bulletin officiel des annonces civiles et commerciales. Le même délai est applicable à l'information prévue par le troisième alinéa de l'article L. 622-24.</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Lorsque la procédure est ouverte par une juridiction qui a son siège sur le territoire de la France métropolitaine, le délai de déclaration est augmenté de deux mois pour les créanciers qui ne demeurent pas sur ce territoire.</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Lorsque la procédure est ouverte par une juridiction qui a son siège dans un département ou une collectivité d'outre-mer, le délai de déclaration est augmenté de deux mois pour les créanciers qui ne demeurent pas dans ce département ou cette collectivité ».</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 xml:space="preserve"> </w:t>
      </w:r>
      <w:r w:rsidRPr="002D3DF7">
        <w:rPr>
          <w:rFonts w:ascii="Arial Narrow" w:hAnsi="Arial Narrow"/>
          <w:bCs/>
          <w:sz w:val="10"/>
          <w:szCs w:val="10"/>
          <w:u w:val="single"/>
        </w:rPr>
        <w:t xml:space="preserve">Article R.622-25 : </w:t>
      </w:r>
      <w:r w:rsidRPr="002D3DF7">
        <w:rPr>
          <w:rFonts w:ascii="Arial Narrow" w:hAnsi="Arial Narrow"/>
          <w:bCs/>
          <w:sz w:val="10"/>
          <w:szCs w:val="10"/>
        </w:rPr>
        <w:t>« Lorsque le juge-commissaire a relevé le créancier de sa forclusion après le dépôt de la liste des créances prévu à l'article L. 624-1 et que sa décision est devenue définitive, il statue sur la créance dans les conditions de l'article L. 624-2. Une mention est portée par le greffier sur l'état des créances.</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Les frais de l'instance en relevé de forclusion sont supportés par le créancier défaillant. Toutefois, le juge peut décider que les frais seront supportés par le débiteur qui n'a pas mentionné la créance sur la liste prévue par l'article L. 622-6 ou n'a pas porté utilement cette créance à la connaissance du mandataire judiciaire dans le délai prévu par l'article R. 622-24 ».</w:t>
      </w:r>
    </w:p>
    <w:p w:rsidR="002D3DF7" w:rsidRPr="002D3DF7" w:rsidRDefault="002D3DF7" w:rsidP="00E04223">
      <w:pPr>
        <w:autoSpaceDE w:val="0"/>
        <w:autoSpaceDN w:val="0"/>
        <w:adjustRightInd w:val="0"/>
        <w:ind w:left="426"/>
        <w:rPr>
          <w:rFonts w:ascii="Arial Narrow" w:hAnsi="Arial Narrow"/>
          <w:bCs/>
          <w:sz w:val="10"/>
          <w:szCs w:val="10"/>
        </w:rPr>
      </w:pPr>
    </w:p>
    <w:p w:rsidR="00293958" w:rsidRPr="002D3DF7" w:rsidRDefault="00293958" w:rsidP="00E04223">
      <w:pPr>
        <w:pStyle w:val="Titre3"/>
        <w:pBdr>
          <w:top w:val="single" w:sz="4" w:space="1" w:color="auto"/>
          <w:bottom w:val="single" w:sz="4" w:space="1" w:color="auto"/>
        </w:pBdr>
        <w:spacing w:before="0" w:after="0"/>
        <w:ind w:left="426"/>
        <w:rPr>
          <w:rFonts w:ascii="Arial Narrow" w:hAnsi="Arial Narrow"/>
          <w:b w:val="0"/>
          <w:bCs w:val="0"/>
          <w:sz w:val="10"/>
          <w:szCs w:val="10"/>
        </w:rPr>
      </w:pPr>
      <w:r w:rsidRPr="002D3DF7">
        <w:rPr>
          <w:b w:val="0"/>
          <w:sz w:val="10"/>
          <w:szCs w:val="10"/>
        </w:rPr>
        <w:t>REVENDICATION &amp; RESTITUTION</w:t>
      </w:r>
    </w:p>
    <w:p w:rsidR="002D3DF7" w:rsidRPr="002D3DF7" w:rsidRDefault="002D3DF7" w:rsidP="00E04223">
      <w:pPr>
        <w:pStyle w:val="Titre4"/>
        <w:spacing w:before="0" w:after="0"/>
        <w:ind w:left="426"/>
        <w:rPr>
          <w:b w:val="0"/>
          <w:sz w:val="10"/>
          <w:szCs w:val="10"/>
        </w:rPr>
      </w:pPr>
    </w:p>
    <w:p w:rsidR="00293958" w:rsidRPr="002D3DF7" w:rsidRDefault="00293958" w:rsidP="00E04223">
      <w:pPr>
        <w:pStyle w:val="Titre4"/>
        <w:spacing w:before="0" w:after="0"/>
        <w:ind w:left="426"/>
        <w:rPr>
          <w:b w:val="0"/>
          <w:sz w:val="10"/>
          <w:szCs w:val="10"/>
          <w:u w:val="single"/>
        </w:rPr>
      </w:pPr>
      <w:r w:rsidRPr="002D3DF7">
        <w:rPr>
          <w:b w:val="0"/>
          <w:sz w:val="10"/>
          <w:szCs w:val="10"/>
        </w:rPr>
        <w:t>Article L.624-9 : « La revendication des meubles ne peut être exercée que dans le délai de trois mois suivant la publication du jugement ouvrant la procédure ».</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sz w:val="10"/>
          <w:szCs w:val="10"/>
          <w:u w:val="single"/>
        </w:rPr>
        <w:t>A</w:t>
      </w:r>
      <w:r w:rsidRPr="002D3DF7">
        <w:rPr>
          <w:rFonts w:ascii="Arial Narrow" w:hAnsi="Arial Narrow"/>
          <w:bCs/>
          <w:sz w:val="10"/>
          <w:szCs w:val="10"/>
          <w:u w:val="single"/>
        </w:rPr>
        <w:t>rticle L.624-10 </w:t>
      </w:r>
      <w:r w:rsidRPr="002D3DF7">
        <w:rPr>
          <w:rFonts w:ascii="Arial Narrow" w:hAnsi="Arial Narrow"/>
          <w:bCs/>
          <w:sz w:val="10"/>
          <w:szCs w:val="10"/>
        </w:rPr>
        <w:t xml:space="preserve">: </w:t>
      </w:r>
      <w:r w:rsidRPr="002D3DF7">
        <w:rPr>
          <w:rFonts w:ascii="Arial Narrow" w:hAnsi="Arial Narrow"/>
          <w:sz w:val="10"/>
          <w:szCs w:val="10"/>
        </w:rPr>
        <w:t xml:space="preserve">« Le propriétaire d’un bien est dispensé de faire reconnaître son droit de propriété lorsque le contrat portant sur ce bien a fait l’objet d’une publicité. </w:t>
      </w:r>
      <w:r w:rsidRPr="002D3DF7">
        <w:rPr>
          <w:rFonts w:ascii="Arial Narrow" w:hAnsi="Arial Narrow"/>
          <w:bCs/>
          <w:sz w:val="10"/>
          <w:szCs w:val="10"/>
        </w:rPr>
        <w:t>Il peut réclamer la restitution de son bien dans</w:t>
      </w:r>
      <w:r w:rsidRPr="002D3DF7">
        <w:rPr>
          <w:rFonts w:ascii="Arial Narrow" w:hAnsi="Arial Narrow"/>
          <w:sz w:val="10"/>
          <w:szCs w:val="10"/>
        </w:rPr>
        <w:t xml:space="preserve"> </w:t>
      </w:r>
      <w:r w:rsidRPr="002D3DF7">
        <w:rPr>
          <w:rFonts w:ascii="Arial Narrow" w:hAnsi="Arial Narrow"/>
          <w:bCs/>
          <w:sz w:val="10"/>
          <w:szCs w:val="10"/>
        </w:rPr>
        <w:t>des conditions fixées par décret en Conseil d’Etat ».</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u w:val="single"/>
        </w:rPr>
        <w:t>Article L.624-10-1</w:t>
      </w:r>
      <w:r w:rsidRPr="002D3DF7">
        <w:rPr>
          <w:rFonts w:ascii="Arial Narrow" w:hAnsi="Arial Narrow"/>
          <w:bCs/>
          <w:sz w:val="10"/>
          <w:szCs w:val="10"/>
        </w:rPr>
        <w:t> : « Lorsque le droit à restitution a été reconnu dans les conditions prévues aux articles L. 624-9 ou L. 624-10 et que le bien fait l'objet d'un contrat en cours au jour de l'ouverture de la procédure, la restitution effective intervient au jour de la résiliation ou du terme du contrat ».</w:t>
      </w:r>
    </w:p>
    <w:p w:rsidR="00293958" w:rsidRPr="002D3DF7" w:rsidRDefault="00293958" w:rsidP="00E04223">
      <w:pPr>
        <w:pStyle w:val="Titre4"/>
        <w:spacing w:before="0" w:after="0"/>
        <w:ind w:left="426"/>
        <w:rPr>
          <w:rFonts w:ascii="Arial Narrow" w:hAnsi="Arial Narrow"/>
          <w:b w:val="0"/>
          <w:bCs w:val="0"/>
          <w:sz w:val="10"/>
          <w:szCs w:val="10"/>
        </w:rPr>
      </w:pPr>
      <w:r w:rsidRPr="002D3DF7">
        <w:rPr>
          <w:b w:val="0"/>
          <w:sz w:val="10"/>
          <w:szCs w:val="10"/>
        </w:rPr>
        <w:t>Article L624-11 : « Le privilège établi par le 3° de l'article 2332 du code civil au profit du vendeur de meubles ainsi que l'action résolutoire ne peuvent être exercés que dans la limite des dispositions des articles L. 624-12 à L. 624-18 du présent code »</w:t>
      </w:r>
      <w:r w:rsidRPr="002D3DF7">
        <w:rPr>
          <w:b w:val="0"/>
          <w:bCs w:val="0"/>
          <w:sz w:val="10"/>
          <w:szCs w:val="10"/>
        </w:rPr>
        <w:t>.</w:t>
      </w:r>
    </w:p>
    <w:p w:rsidR="00293958" w:rsidRPr="002D3DF7" w:rsidRDefault="00293958" w:rsidP="00E04223">
      <w:pPr>
        <w:pStyle w:val="Titre4"/>
        <w:spacing w:before="0" w:after="0"/>
        <w:ind w:left="426"/>
        <w:rPr>
          <w:b w:val="0"/>
          <w:sz w:val="10"/>
          <w:szCs w:val="10"/>
        </w:rPr>
      </w:pPr>
      <w:r w:rsidRPr="002D3DF7">
        <w:rPr>
          <w:b w:val="0"/>
          <w:sz w:val="10"/>
          <w:szCs w:val="10"/>
        </w:rPr>
        <w:t>Article L.624-12 : « Peuvent être revendiquées, si elles existent en nature, en tout ou partie, les marchandises dont la vente a été résolue antérieurement au jugement ouvrant la procédure soit par décision de justice, soit par le jeu d'une condition résolutoire acquise.</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rPr>
        <w:t>La revendication doit pareillement être admise bien que la résolution de la vente ait été prononcée ou constatée par décision de justice postérieurement au jugement ouvrant la procédure lorsque l'action en revendication ou en résolution a été intentée antérieurement au jugement d'ouverture par le vendeur pour une cause autre que le défaut de paiement du prix ».</w:t>
      </w:r>
    </w:p>
    <w:p w:rsidR="00293958" w:rsidRPr="002D3DF7" w:rsidRDefault="00293958" w:rsidP="00E04223">
      <w:pPr>
        <w:pStyle w:val="Titre4"/>
        <w:spacing w:before="0" w:after="0"/>
        <w:ind w:left="426"/>
        <w:rPr>
          <w:rFonts w:ascii="Arial Narrow" w:hAnsi="Arial Narrow"/>
          <w:b w:val="0"/>
          <w:sz w:val="10"/>
          <w:szCs w:val="10"/>
        </w:rPr>
      </w:pPr>
      <w:r w:rsidRPr="002D3DF7">
        <w:rPr>
          <w:b w:val="0"/>
          <w:sz w:val="10"/>
          <w:szCs w:val="10"/>
        </w:rPr>
        <w:t>Article L.624-13 : « Peuvent être revendiquées les marchandises expédiées au débiteur tant que la tradition n'en a point été effectuée dans ses magasins ou dans ceux du commissionnaire chargé de les vendre pour son compte.</w:t>
      </w:r>
    </w:p>
    <w:p w:rsidR="00E04223"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rPr>
        <w:t>Néanmoins, la revendication n'est pas recevable si, avant leur arrivée, les marchandises ont été revendues sans fraude, sur factures ou titres de transport réguliers ».</w:t>
      </w:r>
    </w:p>
    <w:p w:rsidR="00293958" w:rsidRPr="002D3DF7" w:rsidRDefault="00293958" w:rsidP="00E04223">
      <w:pPr>
        <w:autoSpaceDE w:val="0"/>
        <w:autoSpaceDN w:val="0"/>
        <w:adjustRightInd w:val="0"/>
        <w:ind w:left="426"/>
        <w:rPr>
          <w:rFonts w:ascii="Arial Narrow" w:hAnsi="Arial Narrow"/>
          <w:sz w:val="10"/>
          <w:szCs w:val="10"/>
        </w:rPr>
      </w:pPr>
      <w:r w:rsidRPr="002D3DF7">
        <w:rPr>
          <w:sz w:val="10"/>
          <w:szCs w:val="10"/>
        </w:rPr>
        <w:t>Article L.624-14 : « Peuvent être retenues par le vendeur les marchandises qui ne sont pas délivrées ou expédiées au débiteur ou à un tiers agissant pour son compte. »</w:t>
      </w:r>
    </w:p>
    <w:p w:rsidR="00293958" w:rsidRPr="002D3DF7" w:rsidRDefault="00293958" w:rsidP="00E04223">
      <w:pPr>
        <w:pStyle w:val="Titre4"/>
        <w:spacing w:before="0" w:after="0"/>
        <w:ind w:left="426"/>
        <w:rPr>
          <w:b w:val="0"/>
          <w:sz w:val="10"/>
          <w:szCs w:val="10"/>
        </w:rPr>
      </w:pPr>
      <w:r w:rsidRPr="002D3DF7">
        <w:rPr>
          <w:b w:val="0"/>
          <w:sz w:val="10"/>
          <w:szCs w:val="10"/>
        </w:rPr>
        <w:t>Article L.624-15 :« Peuvent être revendiqués, s'ils se trouvent encore dans le portefeuille du débiteur, les effets de commerce ou autres titres non payés, remis par leur propriétaire pour être recouvrés ou pour être spécialement affectés à des paiements déterminés ».</w:t>
      </w:r>
    </w:p>
    <w:p w:rsidR="00293958" w:rsidRPr="002D3DF7" w:rsidRDefault="00293958" w:rsidP="00E04223">
      <w:pPr>
        <w:pStyle w:val="Titre4"/>
        <w:spacing w:before="0" w:after="0"/>
        <w:ind w:left="426"/>
        <w:rPr>
          <w:b w:val="0"/>
          <w:sz w:val="10"/>
          <w:szCs w:val="10"/>
        </w:rPr>
      </w:pPr>
      <w:r w:rsidRPr="002D3DF7">
        <w:rPr>
          <w:b w:val="0"/>
          <w:sz w:val="10"/>
          <w:szCs w:val="10"/>
        </w:rPr>
        <w:t>Article L.624-16 :« Peuvent être revendiqués, à condition qu'ils se retrouvent en nature, les biens meubles remis à titre précaire au débiteur ou ceux transférés dans un patrimoine fiduciaire dont le débiteur conserve l'usage ou la jouissance en qualité de constituant.</w:t>
      </w:r>
    </w:p>
    <w:p w:rsidR="00293958" w:rsidRPr="002D3DF7" w:rsidRDefault="00293958" w:rsidP="00E04223">
      <w:pPr>
        <w:pStyle w:val="Titre4"/>
        <w:spacing w:before="0" w:after="0"/>
        <w:ind w:left="426"/>
        <w:rPr>
          <w:b w:val="0"/>
          <w:sz w:val="10"/>
          <w:szCs w:val="10"/>
        </w:rPr>
      </w:pPr>
      <w:r w:rsidRPr="002D3DF7">
        <w:rPr>
          <w:b w:val="0"/>
          <w:sz w:val="10"/>
          <w:szCs w:val="10"/>
        </w:rPr>
        <w:t>Peuvent également être revendiqués, s'ils se retrouvent en nature au moment de l'ouverture de la procédure, les biens vendus avec une clause de réserve de propriété. Cette clause doit avoir été convenue entre les parties dans un écrit au plus tard au moment de la livraison. Elle peut l'être dans un écrit régissant un ensemble d'opérations commerciales convenues entre les parties.</w:t>
      </w:r>
    </w:p>
    <w:p w:rsidR="00293958" w:rsidRPr="002D3DF7" w:rsidRDefault="00293958" w:rsidP="00E04223">
      <w:pPr>
        <w:pStyle w:val="Titre4"/>
        <w:spacing w:before="0" w:after="0"/>
        <w:ind w:left="426"/>
        <w:rPr>
          <w:b w:val="0"/>
          <w:sz w:val="10"/>
          <w:szCs w:val="10"/>
        </w:rPr>
      </w:pPr>
      <w:r w:rsidRPr="002D3DF7">
        <w:rPr>
          <w:b w:val="0"/>
          <w:sz w:val="10"/>
          <w:szCs w:val="10"/>
        </w:rPr>
        <w:t>La revendication en nature peut s'exercer dans les mêmes conditions sur les biens mobiliers incorporés dans un autre bien lorsque la séparation de ces biens peut être effectuée sans qu'ils en subissent un dommage. La revendication en nature peut également s'exercer sur des biens fongibles lorsque des biens de même nature et de même qualité se trouvent entre les mains du débiteur ou de toute personne les détenant pour son compte.</w:t>
      </w:r>
    </w:p>
    <w:p w:rsidR="00293958" w:rsidRPr="002D3DF7" w:rsidRDefault="00293958" w:rsidP="00E04223">
      <w:pPr>
        <w:pStyle w:val="Titre4"/>
        <w:spacing w:before="0" w:after="0"/>
        <w:ind w:left="426"/>
        <w:rPr>
          <w:b w:val="0"/>
          <w:sz w:val="10"/>
          <w:szCs w:val="10"/>
        </w:rPr>
      </w:pPr>
      <w:r w:rsidRPr="002D3DF7">
        <w:rPr>
          <w:b w:val="0"/>
          <w:sz w:val="10"/>
          <w:szCs w:val="10"/>
        </w:rPr>
        <w:t>Dans tous les cas, il n'y a pas lieu à revendication si, sur décision du juge-commissaire, le prix est payé immédiatement. Le juge-commissaire peut également, avec le consentement du créancier requérant, accorder un délai de règlement. Le paiement du prix est alors assimilé à celui des créances mentionnées au I de l'article L. 622-17. »</w:t>
      </w:r>
    </w:p>
    <w:p w:rsidR="00293958" w:rsidRPr="002D3DF7" w:rsidRDefault="00293958" w:rsidP="00E04223">
      <w:pPr>
        <w:pStyle w:val="Titre4"/>
        <w:spacing w:before="0" w:after="0"/>
        <w:ind w:left="426"/>
        <w:rPr>
          <w:b w:val="0"/>
          <w:sz w:val="10"/>
          <w:szCs w:val="10"/>
        </w:rPr>
      </w:pPr>
      <w:r w:rsidRPr="002D3DF7">
        <w:rPr>
          <w:b w:val="0"/>
          <w:sz w:val="10"/>
          <w:szCs w:val="10"/>
        </w:rPr>
        <w:t>Article L.624-17 : « L'administrateur avec l'accord du débiteur ou à défaut le débiteur après accord du mandataire judiciaire peut acquiescer à la demande en revendication ou en restitution d'un bien visé à la présente section. A défaut d'accord ou en cas de contestation, la demande est portée devant le juge-commissaire qui statue sur le sort du contrat, au vu des observations du créancier, du débiteur et du mandataire de justice saisi ».</w:t>
      </w:r>
    </w:p>
    <w:p w:rsidR="00293958" w:rsidRPr="002D3DF7" w:rsidRDefault="00293958" w:rsidP="00E04223">
      <w:pPr>
        <w:pStyle w:val="Titre4"/>
        <w:spacing w:before="0" w:after="0"/>
        <w:ind w:left="426"/>
        <w:rPr>
          <w:b w:val="0"/>
          <w:sz w:val="10"/>
          <w:szCs w:val="10"/>
        </w:rPr>
      </w:pPr>
      <w:r w:rsidRPr="002D3DF7">
        <w:rPr>
          <w:b w:val="0"/>
          <w:sz w:val="10"/>
          <w:szCs w:val="10"/>
        </w:rPr>
        <w:t>Article L.624-18 : « Peut être revendiqué le prix ou la partie du prix des biens visés à l'article L. 624-16 qui n'a été ni payé, ni réglé en valeur, ni compensé entre le débiteur et l'acheteur à la date du jugement ouvrant la</w:t>
      </w:r>
    </w:p>
    <w:p w:rsidR="00293958" w:rsidRPr="002D3DF7" w:rsidRDefault="00293958" w:rsidP="00E04223">
      <w:pPr>
        <w:pStyle w:val="Titre4"/>
        <w:spacing w:before="0" w:after="0"/>
        <w:ind w:left="426"/>
        <w:rPr>
          <w:b w:val="0"/>
          <w:sz w:val="10"/>
          <w:szCs w:val="10"/>
        </w:rPr>
      </w:pPr>
      <w:proofErr w:type="gramStart"/>
      <w:r w:rsidRPr="002D3DF7">
        <w:rPr>
          <w:b w:val="0"/>
          <w:sz w:val="10"/>
          <w:szCs w:val="10"/>
        </w:rPr>
        <w:t>procédure</w:t>
      </w:r>
      <w:proofErr w:type="gramEnd"/>
      <w:r w:rsidRPr="002D3DF7">
        <w:rPr>
          <w:b w:val="0"/>
          <w:sz w:val="10"/>
          <w:szCs w:val="10"/>
        </w:rPr>
        <w:t xml:space="preserve">. </w:t>
      </w:r>
      <w:proofErr w:type="spellStart"/>
      <w:r w:rsidRPr="002D3DF7">
        <w:rPr>
          <w:b w:val="0"/>
          <w:sz w:val="10"/>
          <w:szCs w:val="10"/>
        </w:rPr>
        <w:t>Peut être</w:t>
      </w:r>
      <w:proofErr w:type="spellEnd"/>
      <w:r w:rsidRPr="002D3DF7">
        <w:rPr>
          <w:b w:val="0"/>
          <w:sz w:val="10"/>
          <w:szCs w:val="10"/>
        </w:rPr>
        <w:t xml:space="preserve"> revendiquée dans les mêmes conditions l'indemnité d'assurance subrogée au bien. »</w:t>
      </w:r>
    </w:p>
    <w:p w:rsidR="00293958" w:rsidRPr="002D3DF7" w:rsidRDefault="00293958" w:rsidP="00E04223">
      <w:pPr>
        <w:pStyle w:val="Titre6"/>
        <w:spacing w:before="0" w:after="0"/>
        <w:ind w:left="426"/>
        <w:rPr>
          <w:b w:val="0"/>
          <w:sz w:val="10"/>
          <w:szCs w:val="10"/>
        </w:rPr>
      </w:pPr>
      <w:r w:rsidRPr="002D3DF7">
        <w:rPr>
          <w:b w:val="0"/>
          <w:sz w:val="10"/>
          <w:szCs w:val="10"/>
        </w:rPr>
        <w:t xml:space="preserve">Article R.624-13 : « La demande en revendication d'un bien est adressée dans le délai prévu à l'article L. 624-9 par lettre recommandée avec demande d'avis de réception à l'administrateur </w:t>
      </w:r>
      <w:r w:rsidRPr="002D3DF7">
        <w:rPr>
          <w:b w:val="0"/>
          <w:sz w:val="10"/>
          <w:szCs w:val="10"/>
        </w:rPr>
        <w:lastRenderedPageBreak/>
        <w:t>s'il en a été désigné ou, à défaut, au débiteur. Le demandeur en adresse une copie au mandataire judiciaire.</w:t>
      </w:r>
    </w:p>
    <w:p w:rsidR="00293958" w:rsidRPr="002D3DF7" w:rsidRDefault="00293958" w:rsidP="00E04223">
      <w:pPr>
        <w:ind w:left="426"/>
        <w:rPr>
          <w:sz w:val="10"/>
          <w:szCs w:val="10"/>
        </w:rPr>
      </w:pPr>
      <w:r w:rsidRPr="002D3DF7">
        <w:rPr>
          <w:sz w:val="10"/>
          <w:szCs w:val="10"/>
        </w:rPr>
        <w:t xml:space="preserve">     A défaut d'acquiescement dans le délai d'un mois à compter de la réception de la demande, le demandeur doit, sous peine de forclusion</w:t>
      </w:r>
    </w:p>
    <w:p w:rsidR="00293958" w:rsidRPr="002D3DF7" w:rsidRDefault="00293958" w:rsidP="00E04223">
      <w:pPr>
        <w:pStyle w:val="Titre6"/>
        <w:spacing w:before="0" w:after="0"/>
        <w:ind w:left="426"/>
        <w:rPr>
          <w:b w:val="0"/>
          <w:sz w:val="10"/>
          <w:szCs w:val="10"/>
        </w:rPr>
      </w:pPr>
      <w:r w:rsidRPr="002D3DF7">
        <w:rPr>
          <w:b w:val="0"/>
          <w:sz w:val="10"/>
          <w:szCs w:val="10"/>
        </w:rPr>
        <w:t xml:space="preserve">Article R.624-13 : « La demande en revendication d'un bien est adressée dans le délai prévu à l'article L. 624-9 </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rPr>
        <w:t xml:space="preserve">     Avant de statuer, le juge-commissaire recueille les     observations des parties intéressées.</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rPr>
        <w:t>La demande en revendication emporte de plein droit demande en restitution ».</w:t>
      </w:r>
    </w:p>
    <w:p w:rsidR="00293958" w:rsidRPr="002D3DF7" w:rsidRDefault="00293958" w:rsidP="00E04223">
      <w:pPr>
        <w:pStyle w:val="Titre5"/>
        <w:spacing w:before="0" w:after="0"/>
        <w:ind w:left="426"/>
        <w:rPr>
          <w:rFonts w:ascii="Arial Narrow" w:hAnsi="Arial Narrow"/>
          <w:b w:val="0"/>
          <w:i w:val="0"/>
          <w:sz w:val="10"/>
          <w:szCs w:val="10"/>
        </w:rPr>
      </w:pPr>
      <w:r w:rsidRPr="002D3DF7">
        <w:rPr>
          <w:b w:val="0"/>
          <w:i w:val="0"/>
          <w:sz w:val="10"/>
          <w:szCs w:val="10"/>
        </w:rPr>
        <w:t>Article R624-14 : « Pour l'application de l'article L. 624-10, la demande en restitution est faite par le propriétaire du bien par lettre recommandée avec demande d'avis de réception à l'administrateur, s'il en a été désigné, ou, à défaut, au débiteur. Une copie de cette demande est adressée au mandataire judiciaire.</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rPr>
        <w:t>A défaut d'accord dans le délai d'un mois à compter de la réception de la demande ou en cas de contestation, le juge-commissaire peut être saisi à la diligence du propriétaire afin qu'il soit statué sur les droits de ce dernier. Même en l'absence de demande préalable en restitution, le juge-commissaire peut également être saisi à cette même fin par l'administrateur ou par le débiteur. »</w:t>
      </w:r>
    </w:p>
    <w:p w:rsidR="00293958" w:rsidRPr="002D3DF7" w:rsidRDefault="00293958" w:rsidP="00E04223">
      <w:pPr>
        <w:pStyle w:val="Titre5"/>
        <w:spacing w:before="0" w:after="0"/>
        <w:ind w:left="426"/>
        <w:rPr>
          <w:rFonts w:ascii="Arial Narrow" w:hAnsi="Arial Narrow"/>
          <w:b w:val="0"/>
          <w:i w:val="0"/>
          <w:sz w:val="10"/>
          <w:szCs w:val="10"/>
        </w:rPr>
      </w:pPr>
      <w:r w:rsidRPr="002D3DF7">
        <w:rPr>
          <w:b w:val="0"/>
          <w:i w:val="0"/>
          <w:sz w:val="10"/>
          <w:szCs w:val="10"/>
        </w:rPr>
        <w:t>Article R624-15 : « Pour bénéficier des dispositions de l'article L. 624-10, les contrats qui y sont mentionnés doivent avoir été publiés avant le jugement d'ouverture selon les modalités qui leur sont applicables.</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rPr>
        <w:t>Aux mêmes fins, en l'absence de réglementation particulière, le propriétaire du bien doit avoir fait publier le contrat avant le jugement d'ouverture, selon le cas, au registre mentionné à l'article R. 313-4 du code monétaire et financier ou au registre prévu au troisième alinéa de l'article R. 621-8 du présent code ».</w:t>
      </w:r>
    </w:p>
    <w:p w:rsidR="00293958" w:rsidRPr="002D3DF7" w:rsidRDefault="00293958" w:rsidP="00E04223">
      <w:pPr>
        <w:pStyle w:val="Titre5"/>
        <w:spacing w:before="0" w:after="0"/>
        <w:ind w:left="426"/>
        <w:rPr>
          <w:b w:val="0"/>
          <w:i w:val="0"/>
          <w:sz w:val="10"/>
          <w:szCs w:val="10"/>
        </w:rPr>
      </w:pPr>
      <w:r w:rsidRPr="002D3DF7">
        <w:rPr>
          <w:b w:val="0"/>
          <w:i w:val="0"/>
          <w:sz w:val="10"/>
          <w:szCs w:val="10"/>
        </w:rPr>
        <w:t>Article R624-16 : « En cas de revendication du prix des biens en application de l'article L. 624-18, les sommes correspondantes payées par le sous-acquéreur postérieurement à l'ouverture de la procédure doivent être versées par le débiteur ou l'administrateur entre les mains du mandataire judiciaire. Celui-ci les remet au créancier revendiquant à concurrence de sa créance ».</w:t>
      </w:r>
    </w:p>
    <w:p w:rsidR="002D3DF7" w:rsidRPr="002D3DF7" w:rsidRDefault="002D3DF7" w:rsidP="002D3DF7"/>
    <w:p w:rsidR="00293958" w:rsidRPr="002D3DF7" w:rsidRDefault="00293958" w:rsidP="00E04223">
      <w:pPr>
        <w:pBdr>
          <w:top w:val="single" w:sz="4" w:space="1" w:color="auto"/>
          <w:bottom w:val="single" w:sz="4" w:space="1" w:color="auto"/>
        </w:pBdr>
        <w:autoSpaceDE w:val="0"/>
        <w:autoSpaceDN w:val="0"/>
        <w:adjustRightInd w:val="0"/>
        <w:ind w:left="426"/>
        <w:jc w:val="center"/>
        <w:rPr>
          <w:rFonts w:ascii="Arial Narrow" w:hAnsi="Arial Narrow"/>
          <w:bCs/>
          <w:sz w:val="10"/>
          <w:szCs w:val="10"/>
        </w:rPr>
      </w:pPr>
      <w:r w:rsidRPr="002D3DF7">
        <w:rPr>
          <w:rFonts w:ascii="Arial Narrow" w:hAnsi="Arial Narrow"/>
          <w:bCs/>
          <w:sz w:val="10"/>
          <w:szCs w:val="10"/>
        </w:rPr>
        <w:t>CONTROLEURS</w:t>
      </w:r>
    </w:p>
    <w:p w:rsidR="002D3DF7" w:rsidRPr="002D3DF7" w:rsidRDefault="002D3DF7" w:rsidP="00E04223">
      <w:pPr>
        <w:autoSpaceDE w:val="0"/>
        <w:autoSpaceDN w:val="0"/>
        <w:adjustRightInd w:val="0"/>
        <w:ind w:left="426"/>
        <w:rPr>
          <w:rFonts w:ascii="Arial Narrow" w:hAnsi="Arial Narrow"/>
          <w:bCs/>
          <w:sz w:val="10"/>
          <w:szCs w:val="10"/>
          <w:u w:val="single"/>
        </w:rPr>
      </w:pP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u w:val="single"/>
        </w:rPr>
        <w:t>Article L621-10 </w:t>
      </w:r>
      <w:r w:rsidRPr="002D3DF7">
        <w:rPr>
          <w:rFonts w:ascii="Arial Narrow" w:hAnsi="Arial Narrow"/>
          <w:bCs/>
          <w:sz w:val="10"/>
          <w:szCs w:val="10"/>
        </w:rPr>
        <w:t>: « Le juge-commissaire désigne un à cinq contrôleurs parmi les créanciers qui lui en font la demande. Lorsqu'il désigne plusieurs contrôleurs, il veille à ce qu'au moins l'un d'entre eux soit choisi parmi les créanciers titulaires de sûretés et qu'un autre soit choisi parmi les créanciers chirographaires.</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Les administrations financières, les organismes et les institutions mentionnées au premier alinéa de l'article L. 626-6 sont désignés contrôleurs s'ils en font la demande ; s'il est saisi de plusieurs demandes à ce titre, le juge-commissaire désigne un seul contrôleur parmi eux. Sont également désignées contrôleur, si elles en font la demande, les institutions mentionnées à l'article L. 3253-14 du code du travail.</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Aucun parent ou allié jusqu'au quatrième degré inclusivement du débiteur personne physique ou des dirigeants de la personne morale, ni aucune personne détenant directement ou indirectement tout ou partie du capital de la personne morale débitrice ou dont le capital est détenu en tout ou partie par cette même personne, ne peut être nommé contrôleur ou représentant d'une personne morale désignée comme contrôleur.</w:t>
      </w:r>
    </w:p>
    <w:p w:rsidR="00293958" w:rsidRPr="002D3DF7" w:rsidRDefault="00293958" w:rsidP="00E04223">
      <w:pPr>
        <w:autoSpaceDE w:val="0"/>
        <w:autoSpaceDN w:val="0"/>
        <w:adjustRightInd w:val="0"/>
        <w:ind w:left="426"/>
        <w:rPr>
          <w:rFonts w:ascii="Arial Narrow" w:hAnsi="Arial Narrow"/>
          <w:bCs/>
          <w:sz w:val="10"/>
          <w:szCs w:val="10"/>
        </w:rPr>
      </w:pPr>
      <w:r w:rsidRPr="002D3DF7">
        <w:rPr>
          <w:rFonts w:ascii="Arial Narrow" w:hAnsi="Arial Narrow"/>
          <w:bCs/>
          <w:sz w:val="10"/>
          <w:szCs w:val="10"/>
        </w:rPr>
        <w:t>Lorsque le débiteur exerce une profession libérale soumise à un statut législatif ou réglementaire ou dont le titre est protégé, l'ordre professionnel ou l'autorité compétente dont, le cas échéant, il relève est d'office contrôleur. Dans ce cas, le juge-commissaire ne peut désigner plus de quatre contrôleurs.</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bCs/>
          <w:sz w:val="10"/>
          <w:szCs w:val="10"/>
        </w:rPr>
        <w:t>La responsabilité du contrôleur n'est engagée qu'en cas de faute lourde. Il peut se faire représenter par l'un de ses préposés ou par ministère d'avocat. Tout créancier nommé contrôleur peut être révoqué par le tribunal à la demande du ministère public. »</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u w:val="single"/>
        </w:rPr>
        <w:t>Article R.621-19</w:t>
      </w:r>
      <w:r w:rsidRPr="002D3DF7">
        <w:rPr>
          <w:rFonts w:ascii="Arial Narrow" w:hAnsi="Arial Narrow"/>
          <w:sz w:val="10"/>
          <w:szCs w:val="10"/>
        </w:rPr>
        <w:t> : « Le mandataire judiciaire prend toute mesure pour informer et consulter les créanciers.</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rPr>
        <w:t>Les créanciers qui en font la demande par lettre recommandée avec demande d'avis de réception au mandataire judiciaire sont tenus informés par celui-ci des étapes essentielles de la procédure au fur et à mesure du déroulement de celle-ci. »</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u w:val="single"/>
        </w:rPr>
        <w:t>Article R.621-24</w:t>
      </w:r>
      <w:r w:rsidRPr="002D3DF7">
        <w:rPr>
          <w:rFonts w:ascii="Arial Narrow" w:hAnsi="Arial Narrow"/>
          <w:sz w:val="10"/>
          <w:szCs w:val="10"/>
        </w:rPr>
        <w:t> : « le créancier demandant à être nommé contrôleur en application du premier alinéa de l'article L. 621-10 doit en faire la déclaration au greffe. Il indique le montant de sa ou de ses créances, ainsi que, le cas échéant, la nature des sûretés dont il est titulaire.</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rPr>
        <w:t>Les créanciers et institutions mentionnés au deuxième alinéa de l'article L. 621-10, qui demandent à être désignés contrôleurs, en font la déclaration au greffe, transmettent leur demande par lettre recommandée avec demande d'avis de réception ; ils indiquent, selon les mêmes modalités, le nom de la personne qui les représente dans ces fonctions. Le délai prévu par l'alinéa suivant n'est pas applicable.</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rPr>
        <w:t>Aucun contrôleur ne peut être désigné par le juge-commissaire avant l'expiration d'un délai de vingt jours à compter du prononcé du jugement d'ouverture de la procédure.</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rPr>
        <w:t>Le cas échéant, l'ordre professionnel ou l'autorité compétente dont relève le débiteur déclare au greffe ou transmet par lettre recommandée avec demande d'avis de réception le nom de la personne qu'il a désignée pour le représenter dans sa fonction de contrôleur. En l'absence de cette déclaration, son représentant légal exerce cette fonction.</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rPr>
        <w:t>Le créancier qui demande à être désigné contrôleur atteste sur l'honneur qu'il remplit les conditions prévues au troisième alinéa de l'article L. 621-10 ».</w:t>
      </w:r>
    </w:p>
    <w:p w:rsidR="00293958" w:rsidRPr="002D3DF7" w:rsidRDefault="00293958" w:rsidP="00E04223">
      <w:pPr>
        <w:pBdr>
          <w:top w:val="single" w:sz="4" w:space="1" w:color="auto"/>
          <w:bottom w:val="single" w:sz="4" w:space="1" w:color="auto"/>
        </w:pBdr>
        <w:autoSpaceDE w:val="0"/>
        <w:autoSpaceDN w:val="0"/>
        <w:adjustRightInd w:val="0"/>
        <w:ind w:left="426"/>
        <w:jc w:val="center"/>
        <w:rPr>
          <w:rFonts w:ascii="Arial Narrow" w:hAnsi="Arial Narrow"/>
          <w:sz w:val="10"/>
          <w:szCs w:val="10"/>
        </w:rPr>
      </w:pPr>
      <w:r w:rsidRPr="002D3DF7">
        <w:rPr>
          <w:rFonts w:ascii="Arial Narrow" w:hAnsi="Arial Narrow"/>
          <w:sz w:val="10"/>
          <w:szCs w:val="10"/>
        </w:rPr>
        <w:t>MODALITES DE COMMUNICATION ELECTRONIQUE</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u w:val="single"/>
        </w:rPr>
        <w:t>Article D.814-58-3</w:t>
      </w:r>
      <w:r w:rsidRPr="002D3DF7">
        <w:rPr>
          <w:rFonts w:ascii="Arial Narrow" w:hAnsi="Arial Narrow"/>
          <w:sz w:val="10"/>
          <w:szCs w:val="10"/>
        </w:rPr>
        <w:t> : « Peuvent faire l'objet d'une communication électronique, conformément à l'article L. 814-13, les actes de procédure suivants :</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rPr>
        <w:t>1° Concernant les créances :</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rPr>
        <w:t>a) La demande et les informations prévues par le second alinéa de l'article R. 621-19 ;</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rPr>
        <w:t>b) La déclaration prévue à l'article L. 622-24 ;</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rPr>
        <w:t>c) La transmission prévue au deuxième alinéa de l'article L. 628-7 ;</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rPr>
        <w:t>d) L'information prévue au IV des articles L. 622-17 et L. 641-13 ;</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rPr>
        <w:t>e) L'avis et la réponse du créancier prévus à l'article L. 622-27 ;</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rPr>
        <w:t>f) La déclaration de créance de dommages et intérêts prévue au V des articles L. 622-13 et L. 641-11-1 ;</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rPr>
        <w:t>2° Concernant les biens :</w:t>
      </w:r>
    </w:p>
    <w:p w:rsidR="00293958" w:rsidRPr="002D3DF7" w:rsidRDefault="00293958" w:rsidP="00E04223">
      <w:pPr>
        <w:numPr>
          <w:ilvl w:val="0"/>
          <w:numId w:val="3"/>
        </w:numPr>
        <w:autoSpaceDE w:val="0"/>
        <w:autoSpaceDN w:val="0"/>
        <w:adjustRightInd w:val="0"/>
        <w:ind w:left="426" w:firstLine="0"/>
        <w:rPr>
          <w:rFonts w:ascii="Arial Narrow" w:hAnsi="Arial Narrow"/>
          <w:sz w:val="10"/>
          <w:szCs w:val="10"/>
        </w:rPr>
      </w:pPr>
      <w:r w:rsidRPr="002D3DF7">
        <w:rPr>
          <w:rFonts w:ascii="Arial Narrow" w:hAnsi="Arial Narrow"/>
          <w:sz w:val="10"/>
          <w:szCs w:val="10"/>
        </w:rPr>
        <w:t>Les revendications et demandes de restitution prévues à la section III du chapitre IV du titre II du livre VI ;</w:t>
      </w:r>
    </w:p>
    <w:p w:rsidR="00293958" w:rsidRPr="002D3DF7" w:rsidRDefault="00293958" w:rsidP="00E04223">
      <w:pPr>
        <w:numPr>
          <w:ilvl w:val="0"/>
          <w:numId w:val="3"/>
        </w:numPr>
        <w:autoSpaceDE w:val="0"/>
        <w:autoSpaceDN w:val="0"/>
        <w:adjustRightInd w:val="0"/>
        <w:ind w:left="426" w:firstLine="0"/>
        <w:rPr>
          <w:rFonts w:ascii="Arial Narrow" w:hAnsi="Arial Narrow"/>
          <w:sz w:val="10"/>
          <w:szCs w:val="10"/>
        </w:rPr>
      </w:pPr>
      <w:r w:rsidRPr="002D3DF7">
        <w:rPr>
          <w:rFonts w:ascii="Arial Narrow" w:hAnsi="Arial Narrow"/>
          <w:sz w:val="10"/>
          <w:szCs w:val="10"/>
        </w:rPr>
        <w:t>L'acquiescement et la contestation par l'administrateur ou le liquidateur prévus aux articles L. 624-17 et L. 641-14-1 ;</w:t>
      </w:r>
    </w:p>
    <w:p w:rsidR="00293958" w:rsidRPr="002D3DF7" w:rsidRDefault="00293958" w:rsidP="00E04223">
      <w:pPr>
        <w:autoSpaceDE w:val="0"/>
        <w:autoSpaceDN w:val="0"/>
        <w:adjustRightInd w:val="0"/>
        <w:ind w:left="426"/>
        <w:rPr>
          <w:rFonts w:ascii="Arial Narrow" w:hAnsi="Arial Narrow"/>
          <w:sz w:val="10"/>
          <w:szCs w:val="10"/>
        </w:rPr>
      </w:pPr>
      <w:r w:rsidRPr="002D3DF7">
        <w:rPr>
          <w:rFonts w:ascii="Arial Narrow" w:hAnsi="Arial Narrow"/>
          <w:sz w:val="10"/>
          <w:szCs w:val="10"/>
        </w:rPr>
        <w:t>3° Concernant les contrats en cours :</w:t>
      </w:r>
    </w:p>
    <w:p w:rsidR="00293958" w:rsidRPr="002D3DF7" w:rsidRDefault="00293958" w:rsidP="00E04223">
      <w:pPr>
        <w:numPr>
          <w:ilvl w:val="0"/>
          <w:numId w:val="4"/>
        </w:numPr>
        <w:autoSpaceDE w:val="0"/>
        <w:autoSpaceDN w:val="0"/>
        <w:adjustRightInd w:val="0"/>
        <w:ind w:left="426" w:firstLine="0"/>
        <w:rPr>
          <w:rFonts w:ascii="Arial Narrow" w:hAnsi="Arial Narrow"/>
          <w:sz w:val="10"/>
          <w:szCs w:val="10"/>
        </w:rPr>
      </w:pPr>
      <w:r w:rsidRPr="002D3DF7">
        <w:rPr>
          <w:rFonts w:ascii="Arial Narrow" w:hAnsi="Arial Narrow"/>
          <w:sz w:val="10"/>
          <w:szCs w:val="10"/>
        </w:rPr>
        <w:t>La mise en demeure adressée à l'administrateur ou au liquidateur conformément aux articles L. 622-13 ou L. 641-11-1 ;</w:t>
      </w:r>
    </w:p>
    <w:p w:rsidR="00E04223" w:rsidRPr="002D3DF7" w:rsidRDefault="00293958" w:rsidP="00E04223">
      <w:pPr>
        <w:autoSpaceDE w:val="0"/>
        <w:autoSpaceDN w:val="0"/>
        <w:adjustRightInd w:val="0"/>
        <w:ind w:left="426"/>
        <w:rPr>
          <w:rFonts w:ascii="Arial Narrow" w:hAnsi="Arial Narrow"/>
          <w:sz w:val="10"/>
          <w:szCs w:val="10"/>
        </w:rPr>
        <w:sectPr w:rsidR="00E04223" w:rsidRPr="002D3DF7" w:rsidSect="00E04223">
          <w:type w:val="continuous"/>
          <w:pgSz w:w="11906" w:h="16838" w:code="9"/>
          <w:pgMar w:top="426" w:right="1416" w:bottom="851" w:left="851" w:header="284" w:footer="340" w:gutter="0"/>
          <w:cols w:num="3" w:sep="1" w:space="57"/>
          <w:titlePg/>
          <w:docGrid w:linePitch="326"/>
        </w:sectPr>
      </w:pPr>
      <w:r w:rsidRPr="002D3DF7">
        <w:rPr>
          <w:rFonts w:ascii="Arial Narrow" w:hAnsi="Arial Narrow"/>
          <w:sz w:val="10"/>
          <w:szCs w:val="10"/>
        </w:rPr>
        <w:t>b) La réponse faite à la mise en demeure par l'administrateur ou le liquidateur dans le délai prévu aux articles L. 622-13 ou L. 641-11-1 ».</w:t>
      </w:r>
    </w:p>
    <w:p w:rsidR="00293958" w:rsidRDefault="00293958" w:rsidP="00293958">
      <w:pPr>
        <w:autoSpaceDE w:val="0"/>
        <w:autoSpaceDN w:val="0"/>
        <w:adjustRightInd w:val="0"/>
        <w:ind w:left="-180"/>
        <w:rPr>
          <w:rFonts w:ascii="Arial Narrow" w:hAnsi="Arial Narrow"/>
          <w:sz w:val="12"/>
          <w:szCs w:val="12"/>
        </w:rPr>
      </w:pPr>
    </w:p>
    <w:p w:rsidR="00293958" w:rsidRDefault="00293958" w:rsidP="00293958">
      <w:pPr>
        <w:autoSpaceDE w:val="0"/>
        <w:autoSpaceDN w:val="0"/>
        <w:adjustRightInd w:val="0"/>
        <w:ind w:left="-180"/>
        <w:rPr>
          <w:rFonts w:ascii="Arial Narrow" w:hAnsi="Arial Narrow"/>
          <w:sz w:val="12"/>
          <w:szCs w:val="12"/>
        </w:rPr>
      </w:pPr>
    </w:p>
    <w:p w:rsidR="00293958" w:rsidRDefault="00293958" w:rsidP="00293958">
      <w:pPr>
        <w:autoSpaceDE w:val="0"/>
        <w:autoSpaceDN w:val="0"/>
        <w:adjustRightInd w:val="0"/>
        <w:ind w:left="-180"/>
        <w:rPr>
          <w:rFonts w:ascii="Arial Narrow" w:hAnsi="Arial Narrow"/>
          <w:sz w:val="12"/>
          <w:szCs w:val="12"/>
        </w:rPr>
      </w:pPr>
    </w:p>
    <w:p w:rsidR="00293958" w:rsidRDefault="00293958" w:rsidP="00293958">
      <w:pPr>
        <w:ind w:left="-180"/>
        <w:rPr>
          <w:rFonts w:ascii="Arial Narrow" w:hAnsi="Arial Narrow"/>
          <w:b/>
          <w:sz w:val="12"/>
          <w:szCs w:val="12"/>
        </w:rPr>
      </w:pPr>
    </w:p>
    <w:p w:rsidR="00293958" w:rsidRPr="00293958" w:rsidRDefault="00293958" w:rsidP="00293958">
      <w:pPr>
        <w:autoSpaceDE w:val="0"/>
        <w:autoSpaceDN w:val="0"/>
        <w:adjustRightInd w:val="0"/>
        <w:ind w:left="-426" w:right="-568"/>
        <w:jc w:val="left"/>
        <w:rPr>
          <w:rFonts w:ascii="Times New Roman" w:hAnsi="Times New Roman" w:cs="Times New Roman"/>
          <w:bCs/>
          <w:sz w:val="20"/>
          <w:szCs w:val="20"/>
        </w:rPr>
      </w:pPr>
    </w:p>
    <w:sectPr w:rsidR="00293958" w:rsidRPr="00293958" w:rsidSect="00E04223">
      <w:type w:val="continuous"/>
      <w:pgSz w:w="11906" w:h="16838" w:code="9"/>
      <w:pgMar w:top="426" w:right="1134" w:bottom="851" w:left="1134" w:header="284" w:footer="3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833" w:rsidRDefault="00944833">
      <w:pPr>
        <w:rPr>
          <w:rFonts w:ascii="Times New Roman" w:hAnsi="Times New Roman" w:cs="Times New Roman"/>
        </w:rPr>
      </w:pPr>
      <w:r>
        <w:rPr>
          <w:rFonts w:ascii="Times New Roman" w:hAnsi="Times New Roman" w:cs="Times New Roman"/>
        </w:rPr>
        <w:separator/>
      </w:r>
    </w:p>
  </w:endnote>
  <w:endnote w:type="continuationSeparator" w:id="0">
    <w:p w:rsidR="00944833" w:rsidRDefault="0094483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Omega">
    <w:altName w:val="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rantha Sangam MN">
    <w:altName w:val="Nirmala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7E" w:rsidRPr="00034513" w:rsidRDefault="000B397E" w:rsidP="000B397E">
    <w:pPr>
      <w:pStyle w:val="Pieddepage"/>
      <w:tabs>
        <w:tab w:val="left" w:pos="567"/>
        <w:tab w:val="left" w:pos="1928"/>
        <w:tab w:val="left" w:pos="4536"/>
      </w:tabs>
      <w:jc w:val="center"/>
      <w:rPr>
        <w:color w:val="006699"/>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958" w:rsidRDefault="00293958" w:rsidP="00293958">
    <w:pPr>
      <w:pStyle w:val="Pieddepage"/>
      <w:pBdr>
        <w:bottom w:val="single" w:sz="12" w:space="1" w:color="auto"/>
      </w:pBdr>
      <w:tabs>
        <w:tab w:val="left" w:pos="567"/>
        <w:tab w:val="left" w:pos="1928"/>
      </w:tabs>
      <w:jc w:val="center"/>
      <w:rPr>
        <w:sz w:val="16"/>
        <w:szCs w:val="16"/>
      </w:rPr>
    </w:pPr>
  </w:p>
  <w:p w:rsidR="00293958" w:rsidRDefault="00293958" w:rsidP="00293958">
    <w:pPr>
      <w:pStyle w:val="Pieddepage"/>
      <w:tabs>
        <w:tab w:val="left" w:pos="567"/>
        <w:tab w:val="left" w:pos="1928"/>
      </w:tabs>
      <w:jc w:val="center"/>
      <w:rPr>
        <w:sz w:val="16"/>
        <w:szCs w:val="16"/>
      </w:rPr>
    </w:pPr>
  </w:p>
  <w:p w:rsidR="00B217F8" w:rsidRDefault="00B217F8" w:rsidP="00B217F8">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SELARL RM MANDATAIRES – Mandataire Judiciaire  - SELARL au capital de 76 100 € - RCS de Toulon D 420 111 569</w:t>
    </w:r>
  </w:p>
  <w:p w:rsidR="00B217F8" w:rsidRDefault="00B217F8" w:rsidP="00B217F8">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12 Avenue Jean Moulin  - Palais Vauban – 1</w:t>
    </w:r>
    <w:r>
      <w:rPr>
        <w:rFonts w:ascii="Times New Roman" w:hAnsi="Times New Roman" w:cs="Times New Roman"/>
        <w:color w:val="006699"/>
        <w:sz w:val="16"/>
        <w:szCs w:val="16"/>
        <w:vertAlign w:val="superscript"/>
      </w:rPr>
      <w:t>er</w:t>
    </w:r>
    <w:r>
      <w:rPr>
        <w:rFonts w:ascii="Times New Roman" w:hAnsi="Times New Roman" w:cs="Times New Roman"/>
        <w:color w:val="006699"/>
        <w:sz w:val="16"/>
        <w:szCs w:val="16"/>
      </w:rPr>
      <w:t xml:space="preserve">  étage - 83000 Toulon</w:t>
    </w:r>
  </w:p>
  <w:p w:rsidR="00B217F8" w:rsidRDefault="00B217F8" w:rsidP="00B217F8">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Réception sur rendez-vous de 8h00 à 12h00</w:t>
    </w:r>
  </w:p>
  <w:p w:rsidR="00B217F8" w:rsidRDefault="00B217F8" w:rsidP="00B217F8">
    <w:pPr>
      <w:pStyle w:val="Pieddepage"/>
      <w:tabs>
        <w:tab w:val="left" w:pos="567"/>
        <w:tab w:val="left" w:pos="1928"/>
      </w:tabs>
      <w:jc w:val="center"/>
      <w:rPr>
        <w:rFonts w:ascii="Times New Roman" w:hAnsi="Times New Roman" w:cs="Times New Roman"/>
        <w:color w:val="006699"/>
        <w:sz w:val="16"/>
        <w:szCs w:val="16"/>
      </w:rPr>
    </w:pPr>
    <w:r>
      <w:rPr>
        <w:rFonts w:ascii="Times New Roman" w:hAnsi="Times New Roman" w:cs="Times New Roman"/>
        <w:color w:val="006699"/>
        <w:sz w:val="16"/>
        <w:szCs w:val="16"/>
      </w:rPr>
      <w:t xml:space="preserve">Téléphone : 04 94 38 22 71 - </w:t>
    </w:r>
    <w:r>
      <w:rPr>
        <w:rFonts w:ascii="Times New Roman" w:hAnsi="Times New Roman" w:cs="Times New Roman"/>
        <w:b/>
        <w:color w:val="006699"/>
        <w:sz w:val="16"/>
        <w:szCs w:val="16"/>
      </w:rPr>
      <w:t xml:space="preserve">Email : </w:t>
    </w:r>
    <w:r w:rsidR="005175E2">
      <w:rPr>
        <w:rFonts w:ascii="Times New Roman" w:hAnsi="Times New Roman" w:cs="Times New Roman"/>
        <w:b/>
        <w:color w:val="006699"/>
        <w:sz w:val="16"/>
        <w:szCs w:val="16"/>
      </w:rPr>
      <w:t>contact@rm-mandataires.com</w:t>
    </w:r>
  </w:p>
  <w:p w:rsidR="00B217F8" w:rsidRDefault="00B217F8" w:rsidP="00B217F8">
    <w:pPr>
      <w:pStyle w:val="Pieddepage"/>
      <w:tabs>
        <w:tab w:val="left" w:pos="567"/>
        <w:tab w:val="left" w:pos="1928"/>
        <w:tab w:val="left" w:pos="4536"/>
      </w:tabs>
      <w:jc w:val="center"/>
      <w:rPr>
        <w:rFonts w:ascii="Times New Roman" w:hAnsi="Times New Roman" w:cs="Times New Roman"/>
        <w:color w:val="006699"/>
        <w:sz w:val="16"/>
        <w:szCs w:val="16"/>
      </w:rPr>
    </w:pPr>
    <w:r>
      <w:rPr>
        <w:rFonts w:ascii="Times New Roman" w:hAnsi="Times New Roman" w:cs="Times New Roman"/>
        <w:color w:val="006699"/>
        <w:sz w:val="16"/>
        <w:szCs w:val="16"/>
      </w:rPr>
      <w:t>Membre d’une Association Agréée – Le règlement des honoraires par chèque est accepté</w:t>
    </w:r>
  </w:p>
  <w:p w:rsidR="00293958" w:rsidRDefault="002939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833" w:rsidRDefault="00944833">
      <w:pPr>
        <w:rPr>
          <w:rFonts w:ascii="Times New Roman" w:hAnsi="Times New Roman" w:cs="Times New Roman"/>
        </w:rPr>
      </w:pPr>
      <w:r>
        <w:rPr>
          <w:rFonts w:ascii="Times New Roman" w:hAnsi="Times New Roman" w:cs="Times New Roman"/>
        </w:rPr>
        <w:separator/>
      </w:r>
    </w:p>
  </w:footnote>
  <w:footnote w:type="continuationSeparator" w:id="0">
    <w:p w:rsidR="00944833" w:rsidRDefault="00944833">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B9" w:rsidRDefault="00811FB9" w:rsidP="00CE037D">
    <w:pPr>
      <w:pStyle w:val="En-tte"/>
      <w:tabs>
        <w:tab w:val="left" w:pos="4020"/>
      </w:tabs>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66" w:type="dxa"/>
      <w:tblInd w:w="-459" w:type="dxa"/>
      <w:tblBorders>
        <w:insideH w:val="single" w:sz="4" w:space="0" w:color="auto"/>
      </w:tblBorders>
      <w:tblCellMar>
        <w:left w:w="10" w:type="dxa"/>
        <w:right w:w="10" w:type="dxa"/>
      </w:tblCellMar>
      <w:tblLook w:val="04A0" w:firstRow="1" w:lastRow="0" w:firstColumn="1" w:lastColumn="0" w:noHBand="0" w:noVBand="1"/>
    </w:tblPr>
    <w:tblGrid>
      <w:gridCol w:w="2127"/>
      <w:gridCol w:w="6520"/>
      <w:gridCol w:w="2119"/>
    </w:tblGrid>
    <w:tr w:rsidR="00B217F8" w:rsidTr="00B217F8">
      <w:tblPrEx>
        <w:tblCellMar>
          <w:top w:w="0" w:type="dxa"/>
          <w:bottom w:w="0" w:type="dxa"/>
        </w:tblCellMar>
      </w:tblPrEx>
      <w:trPr>
        <w:trHeight w:val="2116"/>
      </w:trPr>
      <w:tc>
        <w:tcPr>
          <w:tcW w:w="2127" w:type="dxa"/>
          <w:vAlign w:val="bottom"/>
          <w:hideMark/>
        </w:tcPr>
        <w:p w:rsidR="00B217F8" w:rsidRDefault="00B217F8">
          <w:pPr>
            <w:pStyle w:val="Normal-TBL-BR-1"/>
            <w:spacing w:line="276" w:lineRule="auto"/>
            <w:jc w:val="left"/>
            <w:rPr>
              <w:rFonts w:cs="Times New Roman"/>
              <w:color w:val="003399"/>
              <w:sz w:val="12"/>
              <w:szCs w:val="12"/>
              <w:lang w:eastAsia="en-US"/>
            </w:rPr>
          </w:pPr>
          <w:r>
            <w:rPr>
              <w:noProof/>
              <w:sz w:val="24"/>
            </w:rPr>
            <w:drawing>
              <wp:inline distT="0" distB="0" distL="0" distR="0">
                <wp:extent cx="1133475" cy="1181100"/>
                <wp:effectExtent l="0" t="1905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l="22241" r="19048"/>
                        <a:stretch>
                          <a:fillRect/>
                        </a:stretch>
                      </pic:blipFill>
                      <pic:spPr bwMode="auto">
                        <a:xfrm>
                          <a:off x="0" y="0"/>
                          <a:ext cx="1133475" cy="1181100"/>
                        </a:xfrm>
                        <a:prstGeom prst="rect">
                          <a:avLst/>
                        </a:prstGeom>
                        <a:noFill/>
                        <a:ln>
                          <a:noFill/>
                        </a:ln>
                        <a:effectLst>
                          <a:outerShdw dist="107763" dir="18900000" algn="ctr" rotWithShape="0">
                            <a:srgbClr val="808080">
                              <a:alpha val="50000"/>
                            </a:srgbClr>
                          </a:outerShdw>
                        </a:effectLst>
                      </pic:spPr>
                    </pic:pic>
                  </a:graphicData>
                </a:graphic>
              </wp:inline>
            </w:drawing>
          </w:r>
        </w:p>
      </w:tc>
      <w:tc>
        <w:tcPr>
          <w:tcW w:w="6520" w:type="dxa"/>
          <w:vAlign w:val="center"/>
          <w:hideMark/>
        </w:tcPr>
        <w:p w:rsidR="00B217F8" w:rsidRDefault="00B217F8">
          <w:pPr>
            <w:pStyle w:val="Normal-TBL-BR-1"/>
            <w:spacing w:after="120" w:line="276" w:lineRule="auto"/>
            <w:jc w:val="center"/>
            <w:rPr>
              <w:rFonts w:ascii="Times New Roman" w:hAnsi="Times New Roman" w:cs="Times New Roman"/>
              <w:b/>
              <w:color w:val="003399"/>
              <w:sz w:val="36"/>
              <w:szCs w:val="36"/>
            </w:rPr>
          </w:pPr>
          <w:r>
            <w:rPr>
              <w:rFonts w:ascii="Times New Roman" w:hAnsi="Times New Roman" w:cs="Times New Roman"/>
              <w:b/>
              <w:color w:val="003399"/>
              <w:sz w:val="36"/>
              <w:szCs w:val="36"/>
            </w:rPr>
            <w:t>SELARL RM MANDATAIRES</w:t>
          </w:r>
        </w:p>
        <w:p w:rsidR="00B217F8" w:rsidRDefault="00B217F8">
          <w:pPr>
            <w:pStyle w:val="Normal-TBL-BR-1"/>
            <w:spacing w:line="276" w:lineRule="auto"/>
            <w:jc w:val="center"/>
            <w:rPr>
              <w:rFonts w:ascii="Times New Roman" w:hAnsi="Times New Roman" w:cs="Times New Roman"/>
              <w:b/>
              <w:color w:val="003399"/>
            </w:rPr>
          </w:pPr>
          <w:r>
            <w:rPr>
              <w:rFonts w:ascii="Times New Roman" w:hAnsi="Times New Roman" w:cs="Times New Roman"/>
              <w:b/>
              <w:color w:val="003399"/>
              <w:sz w:val="24"/>
            </w:rPr>
            <w:t>MANDATAIRE JUDICIAIRE</w:t>
          </w:r>
        </w:p>
        <w:p w:rsidR="00B217F8" w:rsidRDefault="002736E1">
          <w:pPr>
            <w:pStyle w:val="Normal-TBL-BR-1"/>
            <w:spacing w:line="276" w:lineRule="auto"/>
            <w:jc w:val="center"/>
            <w:rPr>
              <w:rFonts w:ascii="Grantha Sangam MN" w:hAnsi="Grantha Sangam MN" w:cs="Grantha Sangam MN"/>
              <w:b/>
              <w:noProof/>
              <w:sz w:val="28"/>
              <w:szCs w:val="28"/>
            </w:rPr>
          </w:pPr>
          <w:r>
            <w:rPr>
              <w:rFonts w:ascii="Grantha Sangam MN" w:hAnsi="Grantha Sangam MN" w:cs="Grantha Sangam MN"/>
              <w:b/>
              <w:noProof/>
              <w:sz w:val="28"/>
              <w:szCs w:val="28"/>
            </w:rPr>
            <w:pict>
              <v:rect id="_x0000_i1025" style="width:453pt;height:1.5pt" o:hrpct="940" o:hralign="center" o:hrstd="t" o:hrnoshade="t" o:hr="t" fillcolor="#243f60" stroked="f"/>
            </w:pict>
          </w:r>
        </w:p>
      </w:tc>
      <w:tc>
        <w:tcPr>
          <w:tcW w:w="2119" w:type="dxa"/>
          <w:vAlign w:val="center"/>
          <w:hideMark/>
        </w:tcPr>
        <w:p w:rsidR="00B217F8" w:rsidRDefault="00B217F8">
          <w:pPr>
            <w:pStyle w:val="Normal-TBL-BR-1"/>
            <w:spacing w:line="276" w:lineRule="auto"/>
            <w:jc w:val="left"/>
            <w:rPr>
              <w:rFonts w:asciiTheme="minorHAnsi" w:hAnsiTheme="minorHAnsi" w:cs="Times New Roman"/>
            </w:rPr>
          </w:pPr>
        </w:p>
      </w:tc>
    </w:tr>
  </w:tbl>
  <w:p w:rsidR="00293958" w:rsidRDefault="0029395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181B"/>
    <w:multiLevelType w:val="hybridMultilevel"/>
    <w:tmpl w:val="FFFFFFFF"/>
    <w:lvl w:ilvl="0" w:tplc="A132658C">
      <w:start w:val="1"/>
      <w:numFmt w:val="lowerLetter"/>
      <w:lvlText w:val="%1)"/>
      <w:lvlJc w:val="left"/>
      <w:pPr>
        <w:ind w:left="180" w:hanging="360"/>
      </w:pPr>
      <w:rPr>
        <w:rFonts w:cs="Times New Roman" w:hint="default"/>
      </w:rPr>
    </w:lvl>
    <w:lvl w:ilvl="1" w:tplc="040C0019" w:tentative="1">
      <w:start w:val="1"/>
      <w:numFmt w:val="lowerLetter"/>
      <w:lvlText w:val="%2."/>
      <w:lvlJc w:val="left"/>
      <w:pPr>
        <w:ind w:left="900" w:hanging="360"/>
      </w:pPr>
      <w:rPr>
        <w:rFonts w:cs="Times New Roman"/>
      </w:rPr>
    </w:lvl>
    <w:lvl w:ilvl="2" w:tplc="040C001B" w:tentative="1">
      <w:start w:val="1"/>
      <w:numFmt w:val="lowerRoman"/>
      <w:lvlText w:val="%3."/>
      <w:lvlJc w:val="right"/>
      <w:pPr>
        <w:ind w:left="1620" w:hanging="180"/>
      </w:pPr>
      <w:rPr>
        <w:rFonts w:cs="Times New Roman"/>
      </w:rPr>
    </w:lvl>
    <w:lvl w:ilvl="3" w:tplc="040C000F" w:tentative="1">
      <w:start w:val="1"/>
      <w:numFmt w:val="decimal"/>
      <w:lvlText w:val="%4."/>
      <w:lvlJc w:val="left"/>
      <w:pPr>
        <w:ind w:left="2340" w:hanging="360"/>
      </w:pPr>
      <w:rPr>
        <w:rFonts w:cs="Times New Roman"/>
      </w:rPr>
    </w:lvl>
    <w:lvl w:ilvl="4" w:tplc="040C0019" w:tentative="1">
      <w:start w:val="1"/>
      <w:numFmt w:val="lowerLetter"/>
      <w:lvlText w:val="%5."/>
      <w:lvlJc w:val="left"/>
      <w:pPr>
        <w:ind w:left="3060" w:hanging="360"/>
      </w:pPr>
      <w:rPr>
        <w:rFonts w:cs="Times New Roman"/>
      </w:rPr>
    </w:lvl>
    <w:lvl w:ilvl="5" w:tplc="040C001B" w:tentative="1">
      <w:start w:val="1"/>
      <w:numFmt w:val="lowerRoman"/>
      <w:lvlText w:val="%6."/>
      <w:lvlJc w:val="right"/>
      <w:pPr>
        <w:ind w:left="3780" w:hanging="180"/>
      </w:pPr>
      <w:rPr>
        <w:rFonts w:cs="Times New Roman"/>
      </w:rPr>
    </w:lvl>
    <w:lvl w:ilvl="6" w:tplc="040C000F" w:tentative="1">
      <w:start w:val="1"/>
      <w:numFmt w:val="decimal"/>
      <w:lvlText w:val="%7."/>
      <w:lvlJc w:val="left"/>
      <w:pPr>
        <w:ind w:left="4500" w:hanging="360"/>
      </w:pPr>
      <w:rPr>
        <w:rFonts w:cs="Times New Roman"/>
      </w:rPr>
    </w:lvl>
    <w:lvl w:ilvl="7" w:tplc="040C0019" w:tentative="1">
      <w:start w:val="1"/>
      <w:numFmt w:val="lowerLetter"/>
      <w:lvlText w:val="%8."/>
      <w:lvlJc w:val="left"/>
      <w:pPr>
        <w:ind w:left="5220" w:hanging="360"/>
      </w:pPr>
      <w:rPr>
        <w:rFonts w:cs="Times New Roman"/>
      </w:rPr>
    </w:lvl>
    <w:lvl w:ilvl="8" w:tplc="040C001B" w:tentative="1">
      <w:start w:val="1"/>
      <w:numFmt w:val="lowerRoman"/>
      <w:lvlText w:val="%9."/>
      <w:lvlJc w:val="right"/>
      <w:pPr>
        <w:ind w:left="5940" w:hanging="180"/>
      </w:pPr>
      <w:rPr>
        <w:rFonts w:cs="Times New Roman"/>
      </w:rPr>
    </w:lvl>
  </w:abstractNum>
  <w:abstractNum w:abstractNumId="1">
    <w:nsid w:val="6F170726"/>
    <w:multiLevelType w:val="hybridMultilevel"/>
    <w:tmpl w:val="FFFFFFFF"/>
    <w:lvl w:ilvl="0" w:tplc="3F90DA5C">
      <w:start w:val="1"/>
      <w:numFmt w:val="lowerLetter"/>
      <w:lvlText w:val="%1)"/>
      <w:lvlJc w:val="left"/>
      <w:pPr>
        <w:ind w:left="180" w:hanging="360"/>
      </w:pPr>
      <w:rPr>
        <w:rFonts w:cs="Times New Roman" w:hint="default"/>
      </w:rPr>
    </w:lvl>
    <w:lvl w:ilvl="1" w:tplc="040C0019" w:tentative="1">
      <w:start w:val="1"/>
      <w:numFmt w:val="lowerLetter"/>
      <w:lvlText w:val="%2."/>
      <w:lvlJc w:val="left"/>
      <w:pPr>
        <w:ind w:left="900" w:hanging="360"/>
      </w:pPr>
      <w:rPr>
        <w:rFonts w:cs="Times New Roman"/>
      </w:rPr>
    </w:lvl>
    <w:lvl w:ilvl="2" w:tplc="040C001B" w:tentative="1">
      <w:start w:val="1"/>
      <w:numFmt w:val="lowerRoman"/>
      <w:lvlText w:val="%3."/>
      <w:lvlJc w:val="right"/>
      <w:pPr>
        <w:ind w:left="1620" w:hanging="180"/>
      </w:pPr>
      <w:rPr>
        <w:rFonts w:cs="Times New Roman"/>
      </w:rPr>
    </w:lvl>
    <w:lvl w:ilvl="3" w:tplc="040C000F" w:tentative="1">
      <w:start w:val="1"/>
      <w:numFmt w:val="decimal"/>
      <w:lvlText w:val="%4."/>
      <w:lvlJc w:val="left"/>
      <w:pPr>
        <w:ind w:left="2340" w:hanging="360"/>
      </w:pPr>
      <w:rPr>
        <w:rFonts w:cs="Times New Roman"/>
      </w:rPr>
    </w:lvl>
    <w:lvl w:ilvl="4" w:tplc="040C0019" w:tentative="1">
      <w:start w:val="1"/>
      <w:numFmt w:val="lowerLetter"/>
      <w:lvlText w:val="%5."/>
      <w:lvlJc w:val="left"/>
      <w:pPr>
        <w:ind w:left="3060" w:hanging="360"/>
      </w:pPr>
      <w:rPr>
        <w:rFonts w:cs="Times New Roman"/>
      </w:rPr>
    </w:lvl>
    <w:lvl w:ilvl="5" w:tplc="040C001B" w:tentative="1">
      <w:start w:val="1"/>
      <w:numFmt w:val="lowerRoman"/>
      <w:lvlText w:val="%6."/>
      <w:lvlJc w:val="right"/>
      <w:pPr>
        <w:ind w:left="3780" w:hanging="180"/>
      </w:pPr>
      <w:rPr>
        <w:rFonts w:cs="Times New Roman"/>
      </w:rPr>
    </w:lvl>
    <w:lvl w:ilvl="6" w:tplc="040C000F" w:tentative="1">
      <w:start w:val="1"/>
      <w:numFmt w:val="decimal"/>
      <w:lvlText w:val="%7."/>
      <w:lvlJc w:val="left"/>
      <w:pPr>
        <w:ind w:left="4500" w:hanging="360"/>
      </w:pPr>
      <w:rPr>
        <w:rFonts w:cs="Times New Roman"/>
      </w:rPr>
    </w:lvl>
    <w:lvl w:ilvl="7" w:tplc="040C0019" w:tentative="1">
      <w:start w:val="1"/>
      <w:numFmt w:val="lowerLetter"/>
      <w:lvlText w:val="%8."/>
      <w:lvlJc w:val="left"/>
      <w:pPr>
        <w:ind w:left="5220" w:hanging="360"/>
      </w:pPr>
      <w:rPr>
        <w:rFonts w:cs="Times New Roman"/>
      </w:rPr>
    </w:lvl>
    <w:lvl w:ilvl="8" w:tplc="040C001B" w:tentative="1">
      <w:start w:val="1"/>
      <w:numFmt w:val="lowerRoman"/>
      <w:lvlText w:val="%9."/>
      <w:lvlJc w:val="right"/>
      <w:pPr>
        <w:ind w:left="5940" w:hanging="18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11FB9"/>
    <w:rsid w:val="00026559"/>
    <w:rsid w:val="00034513"/>
    <w:rsid w:val="00036CF9"/>
    <w:rsid w:val="0004793D"/>
    <w:rsid w:val="000617F8"/>
    <w:rsid w:val="000A36B9"/>
    <w:rsid w:val="000A4B81"/>
    <w:rsid w:val="000B397E"/>
    <w:rsid w:val="000E0CA9"/>
    <w:rsid w:val="000F0531"/>
    <w:rsid w:val="000F32AA"/>
    <w:rsid w:val="00113CE1"/>
    <w:rsid w:val="00117E9A"/>
    <w:rsid w:val="00127F57"/>
    <w:rsid w:val="00150501"/>
    <w:rsid w:val="00187BFE"/>
    <w:rsid w:val="001971E9"/>
    <w:rsid w:val="001E7AE4"/>
    <w:rsid w:val="00203618"/>
    <w:rsid w:val="00230AB7"/>
    <w:rsid w:val="00267198"/>
    <w:rsid w:val="00270C1D"/>
    <w:rsid w:val="002736E1"/>
    <w:rsid w:val="002771D4"/>
    <w:rsid w:val="00283645"/>
    <w:rsid w:val="00293958"/>
    <w:rsid w:val="002D3DF7"/>
    <w:rsid w:val="002E3C4F"/>
    <w:rsid w:val="00305BFF"/>
    <w:rsid w:val="003105A7"/>
    <w:rsid w:val="0031453E"/>
    <w:rsid w:val="00320572"/>
    <w:rsid w:val="00344D4C"/>
    <w:rsid w:val="00375084"/>
    <w:rsid w:val="003C7F97"/>
    <w:rsid w:val="003D2C90"/>
    <w:rsid w:val="003F04B7"/>
    <w:rsid w:val="004025EE"/>
    <w:rsid w:val="00405994"/>
    <w:rsid w:val="00420C74"/>
    <w:rsid w:val="004218E9"/>
    <w:rsid w:val="00472B87"/>
    <w:rsid w:val="00474F81"/>
    <w:rsid w:val="00487049"/>
    <w:rsid w:val="004E473E"/>
    <w:rsid w:val="005175E2"/>
    <w:rsid w:val="00527BC9"/>
    <w:rsid w:val="00530238"/>
    <w:rsid w:val="00530BB7"/>
    <w:rsid w:val="00541123"/>
    <w:rsid w:val="00572CC8"/>
    <w:rsid w:val="00590E30"/>
    <w:rsid w:val="00594C27"/>
    <w:rsid w:val="005B4F1C"/>
    <w:rsid w:val="005C652F"/>
    <w:rsid w:val="005E3708"/>
    <w:rsid w:val="00612885"/>
    <w:rsid w:val="00623E5F"/>
    <w:rsid w:val="0064793E"/>
    <w:rsid w:val="0067189C"/>
    <w:rsid w:val="006A5712"/>
    <w:rsid w:val="006E20BE"/>
    <w:rsid w:val="006E3CE9"/>
    <w:rsid w:val="006E5A45"/>
    <w:rsid w:val="00713E79"/>
    <w:rsid w:val="00717D35"/>
    <w:rsid w:val="00760543"/>
    <w:rsid w:val="00766CBC"/>
    <w:rsid w:val="00794467"/>
    <w:rsid w:val="007B45F4"/>
    <w:rsid w:val="0080266F"/>
    <w:rsid w:val="00811FB9"/>
    <w:rsid w:val="008614DC"/>
    <w:rsid w:val="00866352"/>
    <w:rsid w:val="00884E50"/>
    <w:rsid w:val="008937A9"/>
    <w:rsid w:val="008B38B6"/>
    <w:rsid w:val="008D19C0"/>
    <w:rsid w:val="008D1D6B"/>
    <w:rsid w:val="00903B83"/>
    <w:rsid w:val="00944833"/>
    <w:rsid w:val="009570F5"/>
    <w:rsid w:val="00975376"/>
    <w:rsid w:val="00987FC9"/>
    <w:rsid w:val="009A3785"/>
    <w:rsid w:val="009B6349"/>
    <w:rsid w:val="009B75F8"/>
    <w:rsid w:val="00A14413"/>
    <w:rsid w:val="00AB3AD7"/>
    <w:rsid w:val="00AD3F35"/>
    <w:rsid w:val="00B135E8"/>
    <w:rsid w:val="00B217F8"/>
    <w:rsid w:val="00B3312D"/>
    <w:rsid w:val="00B4677C"/>
    <w:rsid w:val="00B70DB4"/>
    <w:rsid w:val="00B71AC4"/>
    <w:rsid w:val="00B85E8B"/>
    <w:rsid w:val="00BC01F4"/>
    <w:rsid w:val="00BC11B1"/>
    <w:rsid w:val="00BD7E8F"/>
    <w:rsid w:val="00BE146E"/>
    <w:rsid w:val="00BE17BE"/>
    <w:rsid w:val="00BE1C8D"/>
    <w:rsid w:val="00BE52E7"/>
    <w:rsid w:val="00C00E3E"/>
    <w:rsid w:val="00C65D52"/>
    <w:rsid w:val="00C66D72"/>
    <w:rsid w:val="00C808DC"/>
    <w:rsid w:val="00C8347C"/>
    <w:rsid w:val="00C942DD"/>
    <w:rsid w:val="00CE037D"/>
    <w:rsid w:val="00D16C5E"/>
    <w:rsid w:val="00D37AD7"/>
    <w:rsid w:val="00D41ACD"/>
    <w:rsid w:val="00D77C27"/>
    <w:rsid w:val="00DB7139"/>
    <w:rsid w:val="00DE53AE"/>
    <w:rsid w:val="00DF1B29"/>
    <w:rsid w:val="00E01556"/>
    <w:rsid w:val="00E04223"/>
    <w:rsid w:val="00E04BAF"/>
    <w:rsid w:val="00EA254C"/>
    <w:rsid w:val="00ED4FE9"/>
    <w:rsid w:val="00EF5A75"/>
    <w:rsid w:val="00F1657A"/>
    <w:rsid w:val="00F23EFF"/>
    <w:rsid w:val="00F3223F"/>
    <w:rsid w:val="00F6135C"/>
    <w:rsid w:val="00FA4CE9"/>
    <w:rsid w:val="00FB0623"/>
    <w:rsid w:val="00FC47A6"/>
    <w:rsid w:val="00FD07ED"/>
    <w:rsid w:val="00FD1EB6"/>
    <w:rsid w:val="00FD2E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B6"/>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jc w:val="center"/>
      <w:outlineLvl w:val="0"/>
    </w:pPr>
    <w:rPr>
      <w:b/>
      <w:bCs/>
      <w:smallCaps/>
      <w:spacing w:val="28"/>
      <w:sz w:val="28"/>
      <w:szCs w:val="28"/>
    </w:rPr>
  </w:style>
  <w:style w:type="paragraph" w:styleId="Titre2">
    <w:name w:val="heading 2"/>
    <w:basedOn w:val="Normal"/>
    <w:next w:val="Normal"/>
    <w:link w:val="Titre2Car"/>
    <w:uiPriority w:val="99"/>
    <w:qFormat/>
    <w:pPr>
      <w:keepNext/>
      <w:framePr w:w="11022" w:h="2880" w:hSpace="141" w:wrap="auto" w:vAnchor="text" w:hAnchor="page" w:x="341" w:y="-1137"/>
      <w:pBdr>
        <w:top w:val="single" w:sz="4" w:space="1" w:color="auto" w:shadow="1"/>
        <w:left w:val="single" w:sz="4" w:space="4" w:color="auto" w:shadow="1"/>
        <w:bottom w:val="single" w:sz="4" w:space="1" w:color="auto" w:shadow="1"/>
        <w:right w:val="single" w:sz="4" w:space="4" w:color="auto" w:shadow="1"/>
      </w:pBdr>
      <w:tabs>
        <w:tab w:val="left" w:pos="1490"/>
      </w:tabs>
      <w:ind w:left="1065"/>
      <w:jc w:val="center"/>
      <w:outlineLvl w:val="1"/>
    </w:pPr>
    <w:rPr>
      <w:rFonts w:ascii="CG Times" w:hAnsi="CG Times" w:cs="CG Times"/>
      <w:sz w:val="20"/>
      <w:szCs w:val="20"/>
      <w:u w:val="single"/>
    </w:rPr>
  </w:style>
  <w:style w:type="paragraph" w:styleId="Titre3">
    <w:name w:val="heading 3"/>
    <w:basedOn w:val="Normal"/>
    <w:next w:val="Normal"/>
    <w:link w:val="Titre3Car"/>
    <w:uiPriority w:val="9"/>
    <w:semiHidden/>
    <w:unhideWhenUsed/>
    <w:qFormat/>
    <w:rsid w:val="00B71AC4"/>
    <w:pPr>
      <w:keepNext/>
      <w:spacing w:before="240" w:after="60"/>
      <w:outlineLvl w:val="2"/>
    </w:pPr>
    <w:rPr>
      <w:rFonts w:asciiTheme="majorHAnsi" w:eastAsiaTheme="majorEastAsia" w:hAnsiTheme="majorHAnsi" w:cs="Times New Roman"/>
      <w:b/>
      <w:bCs/>
      <w:sz w:val="26"/>
      <w:szCs w:val="26"/>
    </w:rPr>
  </w:style>
  <w:style w:type="paragraph" w:styleId="Titre4">
    <w:name w:val="heading 4"/>
    <w:basedOn w:val="Normal"/>
    <w:next w:val="Normal"/>
    <w:link w:val="Titre4Car"/>
    <w:uiPriority w:val="9"/>
    <w:semiHidden/>
    <w:unhideWhenUsed/>
    <w:qFormat/>
    <w:rsid w:val="00B71AC4"/>
    <w:pPr>
      <w:keepNext/>
      <w:spacing w:before="240" w:after="60"/>
      <w:outlineLvl w:val="3"/>
    </w:pPr>
    <w:rPr>
      <w:rFonts w:asciiTheme="minorHAnsi" w:eastAsiaTheme="minorEastAsia" w:hAnsiTheme="minorHAnsi" w:cs="Times New Roman"/>
      <w:b/>
      <w:bCs/>
      <w:sz w:val="28"/>
      <w:szCs w:val="28"/>
    </w:rPr>
  </w:style>
  <w:style w:type="paragraph" w:styleId="Titre5">
    <w:name w:val="heading 5"/>
    <w:basedOn w:val="Normal"/>
    <w:next w:val="Normal"/>
    <w:link w:val="Titre5Car"/>
    <w:uiPriority w:val="9"/>
    <w:semiHidden/>
    <w:unhideWhenUsed/>
    <w:qFormat/>
    <w:rsid w:val="00B71AC4"/>
    <w:pPr>
      <w:spacing w:before="240" w:after="60"/>
      <w:outlineLvl w:val="4"/>
    </w:pPr>
    <w:rPr>
      <w:rFonts w:asciiTheme="minorHAnsi" w:eastAsiaTheme="minorEastAsia" w:hAnsiTheme="minorHAnsi" w:cs="Times New Roman"/>
      <w:b/>
      <w:bCs/>
      <w:i/>
      <w:iCs/>
      <w:sz w:val="26"/>
      <w:szCs w:val="26"/>
    </w:rPr>
  </w:style>
  <w:style w:type="paragraph" w:styleId="Titre6">
    <w:name w:val="heading 6"/>
    <w:basedOn w:val="Normal"/>
    <w:next w:val="Normal"/>
    <w:link w:val="Titre6Car"/>
    <w:uiPriority w:val="9"/>
    <w:semiHidden/>
    <w:unhideWhenUsed/>
    <w:qFormat/>
    <w:rsid w:val="00B71AC4"/>
    <w:pPr>
      <w:spacing w:before="240" w:after="60"/>
      <w:outlineLvl w:val="5"/>
    </w:pPr>
    <w:rPr>
      <w:rFonts w:asciiTheme="minorHAnsi" w:eastAsiaTheme="minorEastAsia" w:hAnsiTheme="minorHAnsi" w:cs="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sid w:val="00B71AC4"/>
    <w:rPr>
      <w:rFonts w:asciiTheme="majorHAnsi" w:eastAsiaTheme="majorEastAsia" w:hAnsiTheme="majorHAnsi" w:cs="Times New Roman"/>
      <w:b/>
      <w:bCs/>
      <w:sz w:val="26"/>
      <w:szCs w:val="26"/>
    </w:rPr>
  </w:style>
  <w:style w:type="character" w:customStyle="1" w:styleId="Titre4Car">
    <w:name w:val="Titre 4 Car"/>
    <w:basedOn w:val="Policepardfaut"/>
    <w:link w:val="Titre4"/>
    <w:uiPriority w:val="9"/>
    <w:semiHidden/>
    <w:locked/>
    <w:rsid w:val="00B71AC4"/>
    <w:rPr>
      <w:rFonts w:asciiTheme="minorHAnsi" w:eastAsiaTheme="minorEastAsia" w:hAnsiTheme="minorHAnsi" w:cs="Times New Roman"/>
      <w:b/>
      <w:bCs/>
      <w:sz w:val="28"/>
      <w:szCs w:val="28"/>
    </w:rPr>
  </w:style>
  <w:style w:type="character" w:customStyle="1" w:styleId="Titre5Car">
    <w:name w:val="Titre 5 Car"/>
    <w:basedOn w:val="Policepardfaut"/>
    <w:link w:val="Titre5"/>
    <w:uiPriority w:val="9"/>
    <w:semiHidden/>
    <w:locked/>
    <w:rsid w:val="00B71AC4"/>
    <w:rPr>
      <w:rFonts w:asciiTheme="minorHAnsi" w:eastAsiaTheme="minorEastAsia" w:hAnsiTheme="minorHAnsi" w:cs="Times New Roman"/>
      <w:b/>
      <w:bCs/>
      <w:i/>
      <w:iCs/>
      <w:sz w:val="26"/>
      <w:szCs w:val="26"/>
    </w:rPr>
  </w:style>
  <w:style w:type="character" w:customStyle="1" w:styleId="Titre6Car">
    <w:name w:val="Titre 6 Car"/>
    <w:basedOn w:val="Policepardfaut"/>
    <w:link w:val="Titre6"/>
    <w:uiPriority w:val="9"/>
    <w:semiHidden/>
    <w:locked/>
    <w:rsid w:val="00B71AC4"/>
    <w:rPr>
      <w:rFonts w:asciiTheme="minorHAnsi" w:eastAsiaTheme="minorEastAsia" w:hAnsiTheme="minorHAnsi" w:cs="Times New Roman"/>
      <w:b/>
      <w:bCs/>
    </w:rPr>
  </w:style>
  <w:style w:type="paragraph" w:styleId="Lgende">
    <w:name w:val="caption"/>
    <w:basedOn w:val="Normal"/>
    <w:next w:val="Normal"/>
    <w:uiPriority w:val="99"/>
    <w:qFormat/>
    <w:pPr>
      <w:framePr w:w="10944" w:h="2880" w:hSpace="141" w:wrap="auto" w:vAnchor="text" w:hAnchor="text" w:x="-985" w:y="-1129"/>
      <w:shd w:val="solid" w:color="FFFFFF" w:fill="FFFFFF"/>
      <w:jc w:val="center"/>
    </w:pPr>
    <w:rPr>
      <w:i/>
      <w:iCs/>
      <w:spacing w:val="2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locked/>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Pr>
      <w:rFonts w:ascii="CG Omega" w:hAnsi="CG Omega" w:cs="CG Omega"/>
      <w:sz w:val="24"/>
      <w:szCs w:val="24"/>
    </w:rPr>
  </w:style>
  <w:style w:type="paragraph" w:styleId="Retraitcorpsdetexte">
    <w:name w:val="Body Text Indent"/>
    <w:basedOn w:val="Normal"/>
    <w:link w:val="RetraitcorpsdetexteCar"/>
    <w:uiPriority w:val="99"/>
    <w:pPr>
      <w:framePr w:w="11022" w:h="2880" w:hSpace="141" w:wrap="auto" w:vAnchor="text" w:hAnchor="page" w:x="341" w:y="-1137"/>
      <w:pBdr>
        <w:top w:val="single" w:sz="4" w:space="1" w:color="auto" w:shadow="1"/>
        <w:left w:val="single" w:sz="4" w:space="4" w:color="auto" w:shadow="1"/>
        <w:bottom w:val="single" w:sz="4" w:space="1" w:color="auto" w:shadow="1"/>
        <w:right w:val="single" w:sz="4" w:space="4" w:color="auto" w:shadow="1"/>
      </w:pBdr>
      <w:tabs>
        <w:tab w:val="left" w:pos="1916"/>
      </w:tabs>
      <w:ind w:left="1916" w:hanging="851"/>
      <w:jc w:val="left"/>
    </w:pPr>
    <w:rPr>
      <w:rFonts w:ascii="CG Times" w:hAnsi="CG Times" w:cs="CG Times"/>
      <w:sz w:val="20"/>
      <w:szCs w:val="20"/>
    </w:rPr>
  </w:style>
  <w:style w:type="character" w:customStyle="1" w:styleId="RetraitcorpsdetexteCar">
    <w:name w:val="Retrait corps de texte Car"/>
    <w:basedOn w:val="Policepardfaut"/>
    <w:link w:val="Retraitcorpsdetexte"/>
    <w:uiPriority w:val="99"/>
    <w:semiHidden/>
    <w:locked/>
    <w:rPr>
      <w:rFonts w:ascii="CG Omega" w:hAnsi="CG Omega" w:cs="CG Omega"/>
      <w:sz w:val="24"/>
      <w:szCs w:val="24"/>
    </w:rPr>
  </w:style>
  <w:style w:type="paragraph" w:styleId="Corpsdetexte">
    <w:name w:val="Body Text"/>
    <w:basedOn w:val="Normal"/>
    <w:link w:val="CorpsdetexteCar"/>
    <w:uiPriority w:val="99"/>
    <w:rPr>
      <w:i/>
      <w:iCs/>
    </w:rPr>
  </w:style>
  <w:style w:type="character" w:customStyle="1" w:styleId="CorpsdetexteCar">
    <w:name w:val="Corps de texte Car"/>
    <w:basedOn w:val="Policepardfaut"/>
    <w:link w:val="Corpsdetexte"/>
    <w:uiPriority w:val="99"/>
    <w:locked/>
    <w:rPr>
      <w:rFonts w:ascii="CG Omega" w:hAnsi="CG Omega" w:cs="CG Omega"/>
      <w:sz w:val="24"/>
      <w:szCs w:val="24"/>
    </w:rPr>
  </w:style>
  <w:style w:type="character" w:styleId="Lienhypertexte">
    <w:name w:val="Hyperlink"/>
    <w:basedOn w:val="Policepardfaut"/>
    <w:uiPriority w:val="99"/>
    <w:rPr>
      <w:rFonts w:cs="Times New Roman"/>
      <w:color w:val="0000FF"/>
      <w:u w:val="single"/>
    </w:rPr>
  </w:style>
  <w:style w:type="table" w:styleId="Grilledutableau">
    <w:name w:val="Table Grid"/>
    <w:basedOn w:val="TableauNormal"/>
    <w:uiPriority w:val="59"/>
    <w:rsid w:val="008B3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217F8"/>
    <w:rPr>
      <w:rFonts w:ascii="Tahoma" w:hAnsi="Tahoma" w:cs="Tahoma"/>
      <w:sz w:val="16"/>
      <w:szCs w:val="16"/>
    </w:rPr>
  </w:style>
  <w:style w:type="character" w:customStyle="1" w:styleId="TextedebullesCar">
    <w:name w:val="Texte de bulles Car"/>
    <w:basedOn w:val="Policepardfaut"/>
    <w:link w:val="Textedebulles"/>
    <w:uiPriority w:val="99"/>
    <w:semiHidden/>
    <w:rsid w:val="00B217F8"/>
    <w:rPr>
      <w:rFonts w:ascii="Tahoma" w:hAnsi="Tahoma" w:cs="Tahoma"/>
      <w:sz w:val="16"/>
      <w:szCs w:val="16"/>
    </w:rPr>
  </w:style>
  <w:style w:type="paragraph" w:customStyle="1" w:styleId="Normal-TBL-BR-1">
    <w:name w:val="Normal-TBL-BR-1"/>
    <w:pPr>
      <w:spacing w:after="0" w:line="240" w:lineRule="auto"/>
      <w:jc w:val="both"/>
    </w:pPr>
    <w:rPr>
      <w:rFonts w:ascii="CG Omega" w:hAnsi="CG Omega" w:cs="CG Omeg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4524">
      <w:bodyDiv w:val="1"/>
      <w:marLeft w:val="0"/>
      <w:marRight w:val="0"/>
      <w:marTop w:val="0"/>
      <w:marBottom w:val="0"/>
      <w:divBdr>
        <w:top w:val="none" w:sz="0" w:space="0" w:color="auto"/>
        <w:left w:val="none" w:sz="0" w:space="0" w:color="auto"/>
        <w:bottom w:val="none" w:sz="0" w:space="0" w:color="auto"/>
        <w:right w:val="none" w:sz="0" w:space="0" w:color="auto"/>
      </w:divBdr>
    </w:div>
    <w:div w:id="1070540263">
      <w:bodyDiv w:val="1"/>
      <w:marLeft w:val="0"/>
      <w:marRight w:val="0"/>
      <w:marTop w:val="0"/>
      <w:marBottom w:val="0"/>
      <w:divBdr>
        <w:top w:val="none" w:sz="0" w:space="0" w:color="auto"/>
        <w:left w:val="none" w:sz="0" w:space="0" w:color="auto"/>
        <w:bottom w:val="none" w:sz="0" w:space="0" w:color="auto"/>
        <w:right w:val="none" w:sz="0" w:space="0" w:color="auto"/>
      </w:divBdr>
    </w:div>
    <w:div w:id="1783105887">
      <w:marLeft w:val="0"/>
      <w:marRight w:val="0"/>
      <w:marTop w:val="0"/>
      <w:marBottom w:val="0"/>
      <w:divBdr>
        <w:top w:val="none" w:sz="0" w:space="0" w:color="auto"/>
        <w:left w:val="none" w:sz="0" w:space="0" w:color="auto"/>
        <w:bottom w:val="none" w:sz="0" w:space="0" w:color="auto"/>
        <w:right w:val="none" w:sz="0" w:space="0" w:color="auto"/>
      </w:divBdr>
    </w:div>
    <w:div w:id="1783105888">
      <w:marLeft w:val="0"/>
      <w:marRight w:val="0"/>
      <w:marTop w:val="0"/>
      <w:marBottom w:val="0"/>
      <w:divBdr>
        <w:top w:val="none" w:sz="0" w:space="0" w:color="auto"/>
        <w:left w:val="none" w:sz="0" w:space="0" w:color="auto"/>
        <w:bottom w:val="none" w:sz="0" w:space="0" w:color="auto"/>
        <w:right w:val="none" w:sz="0" w:space="0" w:color="auto"/>
      </w:divBdr>
    </w:div>
    <w:div w:id="1783105889">
      <w:marLeft w:val="0"/>
      <w:marRight w:val="0"/>
      <w:marTop w:val="0"/>
      <w:marBottom w:val="0"/>
      <w:divBdr>
        <w:top w:val="none" w:sz="0" w:space="0" w:color="auto"/>
        <w:left w:val="none" w:sz="0" w:space="0" w:color="auto"/>
        <w:bottom w:val="none" w:sz="0" w:space="0" w:color="auto"/>
        <w:right w:val="none" w:sz="0" w:space="0" w:color="auto"/>
      </w:divBdr>
    </w:div>
    <w:div w:id="1783105890">
      <w:marLeft w:val="0"/>
      <w:marRight w:val="0"/>
      <w:marTop w:val="0"/>
      <w:marBottom w:val="0"/>
      <w:divBdr>
        <w:top w:val="none" w:sz="0" w:space="0" w:color="auto"/>
        <w:left w:val="none" w:sz="0" w:space="0" w:color="auto"/>
        <w:bottom w:val="none" w:sz="0" w:space="0" w:color="auto"/>
        <w:right w:val="none" w:sz="0" w:space="0" w:color="auto"/>
      </w:divBdr>
    </w:div>
    <w:div w:id="17831058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rm-mandataires.fr/accuei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1DBE326A-2344-4DD7-B1C9-9BF6C3D214B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3931</Words>
  <Characters>20718</Characters>
  <Application>Microsoft Office Word</Application>
  <DocSecurity>0</DocSecurity>
  <Lines>172</Lines>
  <Paragraphs>49</Paragraphs>
  <ScaleCrop>false</ScaleCrop>
  <Company>PSI</Company>
  <LinksUpToDate>false</LinksUpToDate>
  <CharactersWithSpaces>24600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EMMANUEL LOEUILLE</dc:title>
  <dc:subject/>
  <dc:creator>Patrick</dc:creator>
  <cp:keywords/>
  <dc:description/>
  <cp:lastModifiedBy>PC-Utilisateur02</cp:lastModifiedBy>
  <cp:revision>6</cp:revision>
  <cp:lastPrinted>2022-10-10T07:39:00Z</cp:lastPrinted>
  <dcterms:created xsi:type="dcterms:W3CDTF">2023-12-01T09:42:00Z</dcterms:created>
  <dcterms:modified xsi:type="dcterms:W3CDTF">2025-05-27T08:36:00Z</dcterms:modified>
</cp:coreProperties>
</file>